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A03" w:rsidRPr="00386A5A" w:rsidRDefault="00E83D9B" w:rsidP="006F3E38">
      <w:pPr>
        <w:pStyle w:val="Titre2"/>
        <w:rPr>
          <w:lang w:val="en-GB"/>
        </w:rPr>
      </w:pPr>
      <w:bookmarkStart w:id="0" w:name="_GoBack"/>
      <w:bookmarkEnd w:id="0"/>
      <w:r>
        <w:rPr>
          <w:lang w:val="en-GB"/>
        </w:rPr>
        <w:t>How the mobili</w:t>
      </w:r>
      <w:r w:rsidR="00053A03" w:rsidRPr="00386A5A">
        <w:rPr>
          <w:lang w:val="en-GB"/>
        </w:rPr>
        <w:t>zation</w:t>
      </w:r>
      <w:r w:rsidR="005E60E9">
        <w:rPr>
          <w:lang w:val="en-GB"/>
        </w:rPr>
        <w:t xml:space="preserve"> of private capital can </w:t>
      </w:r>
      <w:r w:rsidR="00053A03" w:rsidRPr="00386A5A">
        <w:rPr>
          <w:lang w:val="en-GB"/>
        </w:rPr>
        <w:t>bridge the financing gap for infrastructure.</w:t>
      </w:r>
    </w:p>
    <w:p w:rsidR="00053A03" w:rsidRPr="00386A5A" w:rsidRDefault="00053A03">
      <w:pPr>
        <w:rPr>
          <w:rFonts w:ascii="Arial" w:hAnsi="Arial"/>
          <w:sz w:val="22"/>
          <w:lang w:val="en-GB"/>
        </w:rPr>
      </w:pPr>
    </w:p>
    <w:p w:rsidR="00166AAA" w:rsidRPr="00C37DDD" w:rsidRDefault="00166AAA">
      <w:pPr>
        <w:rPr>
          <w:rFonts w:ascii="Arial" w:hAnsi="Arial"/>
          <w:sz w:val="20"/>
          <w:lang w:val="en-GB"/>
        </w:rPr>
      </w:pPr>
      <w:proofErr w:type="gramStart"/>
      <w:r w:rsidRPr="00C37DDD">
        <w:rPr>
          <w:rFonts w:ascii="Arial" w:hAnsi="Arial"/>
          <w:b/>
          <w:i/>
          <w:sz w:val="20"/>
          <w:lang w:val="en-GB"/>
        </w:rPr>
        <w:t>Introduction.</w:t>
      </w:r>
      <w:proofErr w:type="gramEnd"/>
    </w:p>
    <w:p w:rsidR="00053A03" w:rsidRPr="00C37DDD" w:rsidRDefault="00C36B0B" w:rsidP="007E750B">
      <w:pPr>
        <w:widowControl w:val="0"/>
        <w:autoSpaceDE w:val="0"/>
        <w:autoSpaceDN w:val="0"/>
        <w:adjustRightInd w:val="0"/>
        <w:rPr>
          <w:rFonts w:ascii="Arial" w:hAnsi="Arial" w:cs="OpenSans"/>
          <w:color w:val="262626"/>
          <w:sz w:val="20"/>
          <w:szCs w:val="30"/>
          <w:lang w:val="en-GB"/>
        </w:rPr>
      </w:pPr>
      <w:r w:rsidRPr="00C37DDD">
        <w:rPr>
          <w:rFonts w:ascii="Arial" w:hAnsi="Arial"/>
          <w:sz w:val="20"/>
          <w:lang w:val="en-GB"/>
        </w:rPr>
        <w:t xml:space="preserve">The needs for infrastructure in developing countries are enormous. There is a </w:t>
      </w:r>
      <w:r w:rsidR="00166AAA" w:rsidRPr="00C37DDD">
        <w:rPr>
          <w:rFonts w:ascii="Arial" w:hAnsi="Arial"/>
          <w:sz w:val="20"/>
          <w:lang w:val="en-GB"/>
        </w:rPr>
        <w:t>huge</w:t>
      </w:r>
      <w:r w:rsidRPr="00C37DDD">
        <w:rPr>
          <w:rFonts w:ascii="Arial" w:hAnsi="Arial"/>
          <w:sz w:val="20"/>
          <w:lang w:val="en-GB"/>
        </w:rPr>
        <w:t xml:space="preserve"> gap between these needs and the financing that is available from government</w:t>
      </w:r>
      <w:r w:rsidR="00846CEC">
        <w:rPr>
          <w:rFonts w:ascii="Arial" w:hAnsi="Arial"/>
          <w:sz w:val="20"/>
          <w:lang w:val="en-GB"/>
        </w:rPr>
        <w:t>’</w:t>
      </w:r>
      <w:r w:rsidRPr="00C37DDD">
        <w:rPr>
          <w:rFonts w:ascii="Arial" w:hAnsi="Arial"/>
          <w:sz w:val="20"/>
          <w:lang w:val="en-GB"/>
        </w:rPr>
        <w:t xml:space="preserve">s </w:t>
      </w:r>
      <w:r w:rsidR="00754907" w:rsidRPr="00C37DDD">
        <w:rPr>
          <w:rFonts w:ascii="Arial" w:hAnsi="Arial"/>
          <w:sz w:val="20"/>
          <w:lang w:val="en-GB"/>
        </w:rPr>
        <w:t xml:space="preserve">own resources </w:t>
      </w:r>
      <w:r w:rsidRPr="00C37DDD">
        <w:rPr>
          <w:rFonts w:ascii="Arial" w:hAnsi="Arial"/>
          <w:sz w:val="20"/>
          <w:lang w:val="en-GB"/>
        </w:rPr>
        <w:t xml:space="preserve">and </w:t>
      </w:r>
      <w:r w:rsidR="00053A03" w:rsidRPr="00C37DDD">
        <w:rPr>
          <w:rFonts w:ascii="Arial" w:hAnsi="Arial"/>
          <w:sz w:val="20"/>
          <w:lang w:val="en-GB"/>
        </w:rPr>
        <w:t>funds from D</w:t>
      </w:r>
      <w:r w:rsidR="00166AAA" w:rsidRPr="00C37DDD">
        <w:rPr>
          <w:rFonts w:ascii="Arial" w:hAnsi="Arial"/>
          <w:sz w:val="20"/>
          <w:lang w:val="en-GB"/>
        </w:rPr>
        <w:t xml:space="preserve">evelopment </w:t>
      </w:r>
      <w:r w:rsidR="00053A03" w:rsidRPr="00C37DDD">
        <w:rPr>
          <w:rFonts w:ascii="Arial" w:hAnsi="Arial"/>
          <w:sz w:val="20"/>
          <w:lang w:val="en-GB"/>
        </w:rPr>
        <w:t>Finance Institutions D</w:t>
      </w:r>
      <w:r w:rsidR="00166AAA" w:rsidRPr="00C37DDD">
        <w:rPr>
          <w:rFonts w:ascii="Arial" w:hAnsi="Arial"/>
          <w:sz w:val="20"/>
          <w:lang w:val="en-GB"/>
        </w:rPr>
        <w:t>FIs)</w:t>
      </w:r>
      <w:r w:rsidR="00166AAA" w:rsidRPr="00C37DDD">
        <w:rPr>
          <w:rStyle w:val="Appelnotedebasdep"/>
          <w:rFonts w:ascii="Arial" w:hAnsi="Arial"/>
          <w:sz w:val="20"/>
          <w:lang w:val="en-GB"/>
        </w:rPr>
        <w:footnoteReference w:id="1"/>
      </w:r>
      <w:r w:rsidR="00166AAA" w:rsidRPr="00C37DDD">
        <w:rPr>
          <w:rFonts w:ascii="Arial" w:hAnsi="Arial"/>
          <w:sz w:val="20"/>
          <w:lang w:val="en-GB"/>
        </w:rPr>
        <w:t>.</w:t>
      </w:r>
      <w:r w:rsidR="007E750B" w:rsidRPr="00C37DDD">
        <w:rPr>
          <w:rFonts w:ascii="Arial" w:hAnsi="Arial"/>
          <w:sz w:val="20"/>
          <w:lang w:val="en-GB"/>
        </w:rPr>
        <w:t xml:space="preserve"> According to the World </w:t>
      </w:r>
      <w:r w:rsidR="00053A03" w:rsidRPr="00C37DDD">
        <w:rPr>
          <w:rFonts w:ascii="Arial" w:hAnsi="Arial"/>
          <w:sz w:val="20"/>
          <w:lang w:val="en-GB"/>
        </w:rPr>
        <w:t>B</w:t>
      </w:r>
      <w:r w:rsidR="007E750B" w:rsidRPr="00C37DDD">
        <w:rPr>
          <w:rFonts w:ascii="Arial" w:hAnsi="Arial"/>
          <w:sz w:val="20"/>
          <w:lang w:val="en-GB"/>
        </w:rPr>
        <w:t xml:space="preserve">ank </w:t>
      </w:r>
      <w:r w:rsidR="007E750B" w:rsidRPr="00C37DDD">
        <w:rPr>
          <w:rFonts w:ascii="Arial" w:hAnsi="Arial" w:cs="OpenSans"/>
          <w:color w:val="262626"/>
          <w:sz w:val="20"/>
          <w:szCs w:val="30"/>
          <w:lang w:val="en-GB"/>
        </w:rPr>
        <w:t>th</w:t>
      </w:r>
      <w:r w:rsidR="00053A03" w:rsidRPr="00C37DDD">
        <w:rPr>
          <w:rFonts w:ascii="Arial" w:hAnsi="Arial" w:cs="OpenSans"/>
          <w:color w:val="262626"/>
          <w:sz w:val="20"/>
          <w:szCs w:val="30"/>
          <w:lang w:val="en-GB"/>
        </w:rPr>
        <w:t>e</w:t>
      </w:r>
      <w:r w:rsidR="007E750B" w:rsidRPr="00C37DDD">
        <w:rPr>
          <w:rFonts w:ascii="Arial" w:hAnsi="Arial" w:cs="OpenSans"/>
          <w:color w:val="262626"/>
          <w:sz w:val="20"/>
          <w:szCs w:val="30"/>
          <w:lang w:val="en-GB"/>
        </w:rPr>
        <w:t xml:space="preserve"> lack of infrastructure comes at enormous economic and social cost.  Over 1.3 billion people</w:t>
      </w:r>
      <w:r w:rsidR="00053A03" w:rsidRPr="00C37DDD">
        <w:rPr>
          <w:rFonts w:ascii="Arial" w:hAnsi="Arial" w:cs="OpenSans"/>
          <w:color w:val="262626"/>
          <w:sz w:val="20"/>
          <w:szCs w:val="30"/>
          <w:lang w:val="en-GB"/>
        </w:rPr>
        <w:t xml:space="preserve"> – </w:t>
      </w:r>
      <w:r w:rsidR="007E750B" w:rsidRPr="00C37DDD">
        <w:rPr>
          <w:rFonts w:ascii="Arial" w:hAnsi="Arial" w:cs="OpenSans"/>
          <w:color w:val="262626"/>
          <w:sz w:val="20"/>
          <w:szCs w:val="30"/>
          <w:lang w:val="en-GB"/>
        </w:rPr>
        <w:t>almost 20 percent of the world’s population</w:t>
      </w:r>
      <w:r w:rsidR="00053A03" w:rsidRPr="00C37DDD">
        <w:rPr>
          <w:rFonts w:ascii="Arial" w:hAnsi="Arial" w:cs="OpenSans"/>
          <w:color w:val="262626"/>
          <w:sz w:val="20"/>
          <w:szCs w:val="30"/>
          <w:lang w:val="en-GB"/>
        </w:rPr>
        <w:t xml:space="preserve"> – </w:t>
      </w:r>
      <w:r w:rsidR="007E750B" w:rsidRPr="00C37DDD">
        <w:rPr>
          <w:rFonts w:ascii="Arial" w:hAnsi="Arial" w:cs="OpenSans"/>
          <w:color w:val="262626"/>
          <w:sz w:val="20"/>
          <w:szCs w:val="30"/>
          <w:lang w:val="en-GB"/>
        </w:rPr>
        <w:t xml:space="preserve">still have no access to electricity.  About 768 million people worldwide lack access to clean water; and 2.5 billion do not have adequate sanitation; 2.8 billion people still cook their food with solid fuels (such as wood); and one billion people live more than two </w:t>
      </w:r>
      <w:proofErr w:type="spellStart"/>
      <w:r w:rsidR="007E750B" w:rsidRPr="00C37DDD">
        <w:rPr>
          <w:rFonts w:ascii="Arial" w:hAnsi="Arial" w:cs="OpenSans"/>
          <w:color w:val="262626"/>
          <w:sz w:val="20"/>
          <w:szCs w:val="30"/>
          <w:lang w:val="en-GB"/>
        </w:rPr>
        <w:t>kilometers</w:t>
      </w:r>
      <w:proofErr w:type="spellEnd"/>
      <w:r w:rsidR="007E750B" w:rsidRPr="00C37DDD">
        <w:rPr>
          <w:rFonts w:ascii="Arial" w:hAnsi="Arial" w:cs="OpenSans"/>
          <w:color w:val="262626"/>
          <w:sz w:val="20"/>
          <w:szCs w:val="30"/>
          <w:lang w:val="en-GB"/>
        </w:rPr>
        <w:t xml:space="preserve"> from an all-weather road. This strong unmet demand for infrastructure investment in developing countries is estimated at above US$1 trillion a year.</w:t>
      </w:r>
    </w:p>
    <w:p w:rsidR="00C37DDD" w:rsidRDefault="00C37DDD" w:rsidP="007E750B">
      <w:pPr>
        <w:widowControl w:val="0"/>
        <w:autoSpaceDE w:val="0"/>
        <w:autoSpaceDN w:val="0"/>
        <w:adjustRightInd w:val="0"/>
        <w:rPr>
          <w:rFonts w:ascii="Arial" w:hAnsi="Arial"/>
          <w:sz w:val="20"/>
          <w:lang w:val="en-GB"/>
        </w:rPr>
      </w:pPr>
    </w:p>
    <w:p w:rsidR="00C36B0B" w:rsidRPr="00C37DDD" w:rsidRDefault="00166AAA" w:rsidP="007E750B">
      <w:pPr>
        <w:widowControl w:val="0"/>
        <w:autoSpaceDE w:val="0"/>
        <w:autoSpaceDN w:val="0"/>
        <w:adjustRightInd w:val="0"/>
        <w:rPr>
          <w:rFonts w:ascii="Arial" w:hAnsi="Arial" w:cs="OpenSans"/>
          <w:color w:val="262626"/>
          <w:sz w:val="20"/>
          <w:szCs w:val="30"/>
          <w:lang w:val="en-GB"/>
        </w:rPr>
      </w:pPr>
      <w:r w:rsidRPr="00C37DDD">
        <w:rPr>
          <w:rFonts w:ascii="Arial" w:hAnsi="Arial"/>
          <w:sz w:val="20"/>
          <w:lang w:val="en-GB"/>
        </w:rPr>
        <w:t>Involvement of non-</w:t>
      </w:r>
      <w:r w:rsidR="00C36B0B" w:rsidRPr="00C37DDD">
        <w:rPr>
          <w:rFonts w:ascii="Arial" w:hAnsi="Arial"/>
          <w:sz w:val="20"/>
          <w:lang w:val="en-GB"/>
        </w:rPr>
        <w:t>development financiers</w:t>
      </w:r>
      <w:r w:rsidR="00E83D9B">
        <w:rPr>
          <w:rStyle w:val="Appelnotedebasdep"/>
          <w:rFonts w:ascii="Arial" w:hAnsi="Arial"/>
          <w:sz w:val="20"/>
          <w:lang w:val="en-GB"/>
        </w:rPr>
        <w:footnoteReference w:id="2"/>
      </w:r>
      <w:r w:rsidR="00E83D9B" w:rsidRPr="00C37DDD">
        <w:rPr>
          <w:rFonts w:ascii="Arial" w:hAnsi="Arial"/>
          <w:sz w:val="20"/>
          <w:lang w:val="en-GB"/>
        </w:rPr>
        <w:t xml:space="preserve"> </w:t>
      </w:r>
      <w:r w:rsidR="00C36B0B" w:rsidRPr="00C37DDD">
        <w:rPr>
          <w:rFonts w:ascii="Arial" w:hAnsi="Arial"/>
          <w:sz w:val="20"/>
          <w:lang w:val="en-GB"/>
        </w:rPr>
        <w:t>such</w:t>
      </w:r>
      <w:r w:rsidRPr="00C37DDD">
        <w:rPr>
          <w:rFonts w:ascii="Arial" w:hAnsi="Arial"/>
          <w:sz w:val="20"/>
          <w:lang w:val="en-GB"/>
        </w:rPr>
        <w:t xml:space="preserve"> as commercial banks, official Export Credit A</w:t>
      </w:r>
      <w:r w:rsidR="00C36B0B" w:rsidRPr="00C37DDD">
        <w:rPr>
          <w:rFonts w:ascii="Arial" w:hAnsi="Arial"/>
          <w:sz w:val="20"/>
          <w:lang w:val="en-GB"/>
        </w:rPr>
        <w:t xml:space="preserve">gencies </w:t>
      </w:r>
      <w:r w:rsidRPr="00C37DDD">
        <w:rPr>
          <w:rFonts w:ascii="Arial" w:hAnsi="Arial"/>
          <w:sz w:val="20"/>
          <w:lang w:val="en-GB"/>
        </w:rPr>
        <w:t>(ECAs)</w:t>
      </w:r>
      <w:r w:rsidRPr="00C37DDD">
        <w:rPr>
          <w:rStyle w:val="Appelnotedebasdep"/>
          <w:rFonts w:ascii="Arial" w:hAnsi="Arial"/>
          <w:sz w:val="20"/>
          <w:lang w:val="en-GB"/>
        </w:rPr>
        <w:footnoteReference w:id="3"/>
      </w:r>
      <w:r w:rsidR="00C36B0B" w:rsidRPr="00C37DDD">
        <w:rPr>
          <w:rFonts w:ascii="Arial" w:hAnsi="Arial"/>
          <w:sz w:val="20"/>
          <w:lang w:val="en-GB"/>
        </w:rPr>
        <w:t xml:space="preserve"> and capital market investors is therefore crucial. Through closer </w:t>
      </w:r>
      <w:r w:rsidR="003D2175" w:rsidRPr="00C37DDD">
        <w:rPr>
          <w:rFonts w:ascii="Arial" w:hAnsi="Arial"/>
          <w:sz w:val="20"/>
          <w:lang w:val="en-GB"/>
        </w:rPr>
        <w:t xml:space="preserve">and improved </w:t>
      </w:r>
      <w:r w:rsidR="00C36B0B" w:rsidRPr="00C37DDD">
        <w:rPr>
          <w:rFonts w:ascii="Arial" w:hAnsi="Arial"/>
          <w:sz w:val="20"/>
          <w:lang w:val="en-GB"/>
        </w:rPr>
        <w:t>cooperation more financing could become available to finance infrastructure, which in its turn would contribute significantly to economic and social development of developing countries</w:t>
      </w:r>
      <w:r w:rsidR="003D2175" w:rsidRPr="00C37DDD">
        <w:rPr>
          <w:rFonts w:ascii="Arial" w:hAnsi="Arial"/>
          <w:sz w:val="20"/>
          <w:lang w:val="en-GB"/>
        </w:rPr>
        <w:t xml:space="preserve"> (i.e. the UN sustainability goals)</w:t>
      </w:r>
      <w:r w:rsidR="00C36B0B" w:rsidRPr="00C37DDD">
        <w:rPr>
          <w:rFonts w:ascii="Arial" w:hAnsi="Arial"/>
          <w:sz w:val="20"/>
          <w:lang w:val="en-GB"/>
        </w:rPr>
        <w:t>. This explains why the mobilization of non-development</w:t>
      </w:r>
      <w:r w:rsidR="007E750B" w:rsidRPr="00C37DDD">
        <w:rPr>
          <w:rFonts w:ascii="Arial" w:hAnsi="Arial"/>
          <w:sz w:val="20"/>
          <w:lang w:val="en-GB"/>
        </w:rPr>
        <w:t>al sources of capital</w:t>
      </w:r>
      <w:r w:rsidR="00E83D9B">
        <w:rPr>
          <w:rFonts w:ascii="Arial" w:hAnsi="Arial"/>
          <w:sz w:val="20"/>
          <w:lang w:val="en-GB"/>
        </w:rPr>
        <w:t xml:space="preserve"> </w:t>
      </w:r>
      <w:r w:rsidR="007E750B" w:rsidRPr="00C37DDD">
        <w:rPr>
          <w:rFonts w:ascii="Arial" w:hAnsi="Arial"/>
          <w:sz w:val="20"/>
          <w:lang w:val="en-GB"/>
        </w:rPr>
        <w:t>is of great</w:t>
      </w:r>
      <w:r w:rsidR="00C36B0B" w:rsidRPr="00C37DDD">
        <w:rPr>
          <w:rFonts w:ascii="Arial" w:hAnsi="Arial"/>
          <w:sz w:val="20"/>
          <w:lang w:val="en-GB"/>
        </w:rPr>
        <w:t xml:space="preserve"> importance to developing countries and their strategic business partners</w:t>
      </w:r>
      <w:r w:rsidR="003D2175" w:rsidRPr="00C37DDD">
        <w:rPr>
          <w:rFonts w:ascii="Arial" w:hAnsi="Arial"/>
          <w:sz w:val="20"/>
          <w:lang w:val="en-GB"/>
        </w:rPr>
        <w:t>, such as DFIs, commercial banks and infrastructure construction companies</w:t>
      </w:r>
      <w:r w:rsidR="00C36B0B" w:rsidRPr="00C37DDD">
        <w:rPr>
          <w:rFonts w:ascii="Arial" w:hAnsi="Arial"/>
          <w:sz w:val="20"/>
          <w:lang w:val="en-GB"/>
        </w:rPr>
        <w:t xml:space="preserve">. This article </w:t>
      </w:r>
      <w:r w:rsidR="003D2175" w:rsidRPr="00C37DDD">
        <w:rPr>
          <w:rFonts w:ascii="Arial" w:hAnsi="Arial"/>
          <w:sz w:val="20"/>
          <w:lang w:val="en-GB"/>
        </w:rPr>
        <w:t>provides some suggestions on what needs to be done to successfully mobilize non-developmental sources of capital.</w:t>
      </w:r>
    </w:p>
    <w:p w:rsidR="00C36B0B" w:rsidRPr="00C37DDD" w:rsidRDefault="00C36B0B">
      <w:pPr>
        <w:rPr>
          <w:rFonts w:ascii="Arial" w:hAnsi="Arial"/>
          <w:sz w:val="20"/>
          <w:lang w:val="en-GB"/>
        </w:rPr>
      </w:pPr>
    </w:p>
    <w:p w:rsidR="00C36B0B" w:rsidRPr="00C37DDD" w:rsidRDefault="00386A5A">
      <w:pPr>
        <w:rPr>
          <w:rFonts w:ascii="Arial" w:hAnsi="Arial"/>
          <w:b/>
          <w:i/>
          <w:sz w:val="20"/>
          <w:lang w:val="en-GB"/>
        </w:rPr>
      </w:pPr>
      <w:r w:rsidRPr="00C37DDD">
        <w:rPr>
          <w:rFonts w:ascii="Arial" w:hAnsi="Arial"/>
          <w:b/>
          <w:i/>
          <w:sz w:val="20"/>
          <w:lang w:val="en-GB"/>
        </w:rPr>
        <w:t>DFI</w:t>
      </w:r>
      <w:r w:rsidR="001726EE">
        <w:rPr>
          <w:rFonts w:ascii="Arial" w:hAnsi="Arial"/>
          <w:b/>
          <w:i/>
          <w:sz w:val="20"/>
          <w:lang w:val="en-GB"/>
        </w:rPr>
        <w:t xml:space="preserve"> guarantees</w:t>
      </w:r>
    </w:p>
    <w:p w:rsidR="0028795C" w:rsidRPr="00C37DDD" w:rsidRDefault="00A1510D">
      <w:pPr>
        <w:rPr>
          <w:rFonts w:ascii="Arial" w:hAnsi="Arial"/>
          <w:sz w:val="20"/>
          <w:lang w:val="en-GB"/>
        </w:rPr>
      </w:pPr>
      <w:r w:rsidRPr="00C37DDD">
        <w:rPr>
          <w:rFonts w:ascii="Arial" w:hAnsi="Arial"/>
          <w:sz w:val="20"/>
          <w:lang w:val="en-GB"/>
        </w:rPr>
        <w:t xml:space="preserve">Although </w:t>
      </w:r>
      <w:r w:rsidR="00A7621C" w:rsidRPr="00C37DDD">
        <w:rPr>
          <w:rFonts w:ascii="Arial" w:hAnsi="Arial"/>
          <w:sz w:val="20"/>
          <w:lang w:val="en-GB"/>
        </w:rPr>
        <w:t xml:space="preserve">it is generally recognized that guarantees are the best instrument to directly mobilize private capital and </w:t>
      </w:r>
      <w:r w:rsidRPr="00C37DDD">
        <w:rPr>
          <w:rFonts w:ascii="Arial" w:hAnsi="Arial"/>
          <w:sz w:val="20"/>
          <w:lang w:val="en-GB"/>
        </w:rPr>
        <w:t>many multilateral DFIs have a guarantee program (e.g. partial risk and partial credit guarantees</w:t>
      </w:r>
      <w:r w:rsidR="00A7621C" w:rsidRPr="00C37DDD">
        <w:rPr>
          <w:rFonts w:ascii="Arial" w:hAnsi="Arial"/>
          <w:sz w:val="20"/>
          <w:lang w:val="en-GB"/>
        </w:rPr>
        <w:t xml:space="preserve">), guarantees are hardly used. </w:t>
      </w:r>
      <w:r w:rsidRPr="00C37DDD">
        <w:rPr>
          <w:rFonts w:ascii="Arial" w:hAnsi="Arial"/>
          <w:sz w:val="20"/>
          <w:lang w:val="en-GB"/>
        </w:rPr>
        <w:t xml:space="preserve">Currently </w:t>
      </w:r>
      <w:r w:rsidR="00846CEC" w:rsidRPr="00C37DDD">
        <w:rPr>
          <w:rFonts w:ascii="Arial" w:hAnsi="Arial"/>
          <w:sz w:val="20"/>
          <w:lang w:val="en-GB"/>
        </w:rPr>
        <w:t xml:space="preserve">less </w:t>
      </w:r>
      <w:proofErr w:type="spellStart"/>
      <w:r w:rsidR="00846CEC" w:rsidRPr="00C37DDD">
        <w:rPr>
          <w:rFonts w:ascii="Arial" w:hAnsi="Arial"/>
          <w:sz w:val="20"/>
          <w:lang w:val="en-GB"/>
        </w:rPr>
        <w:t>then</w:t>
      </w:r>
      <w:proofErr w:type="spellEnd"/>
      <w:r w:rsidR="00846CEC" w:rsidRPr="00C37DDD">
        <w:rPr>
          <w:rFonts w:ascii="Arial" w:hAnsi="Arial"/>
          <w:sz w:val="20"/>
          <w:lang w:val="en-GB"/>
        </w:rPr>
        <w:t xml:space="preserve"> 1</w:t>
      </w:r>
      <w:proofErr w:type="gramStart"/>
      <w:r w:rsidR="00846CEC" w:rsidRPr="00C37DDD">
        <w:rPr>
          <w:rFonts w:ascii="Arial" w:hAnsi="Arial"/>
          <w:sz w:val="20"/>
          <w:lang w:val="en-GB"/>
        </w:rPr>
        <w:t>,5</w:t>
      </w:r>
      <w:proofErr w:type="gramEnd"/>
      <w:r w:rsidR="00846CEC" w:rsidRPr="00C37DDD">
        <w:rPr>
          <w:rFonts w:ascii="Arial" w:hAnsi="Arial"/>
          <w:sz w:val="20"/>
          <w:lang w:val="en-GB"/>
        </w:rPr>
        <w:t xml:space="preserve">% </w:t>
      </w:r>
      <w:r w:rsidRPr="00C37DDD">
        <w:rPr>
          <w:rFonts w:ascii="Arial" w:hAnsi="Arial"/>
          <w:sz w:val="20"/>
          <w:lang w:val="en-GB"/>
        </w:rPr>
        <w:t>of the t</w:t>
      </w:r>
      <w:r w:rsidR="007E750B" w:rsidRPr="00C37DDD">
        <w:rPr>
          <w:rFonts w:ascii="Arial" w:hAnsi="Arial"/>
          <w:sz w:val="20"/>
          <w:lang w:val="en-GB"/>
        </w:rPr>
        <w:t>otal business of all leading Multilateral Development Banks (MDBs)</w:t>
      </w:r>
      <w:r w:rsidRPr="00C37DDD">
        <w:rPr>
          <w:rFonts w:ascii="Arial" w:hAnsi="Arial"/>
          <w:sz w:val="20"/>
          <w:lang w:val="en-GB"/>
        </w:rPr>
        <w:t xml:space="preserve"> concerns </w:t>
      </w:r>
      <w:r w:rsidR="002F72E7" w:rsidRPr="00C37DDD">
        <w:rPr>
          <w:rFonts w:ascii="Arial" w:hAnsi="Arial"/>
          <w:sz w:val="20"/>
          <w:lang w:val="en-GB"/>
        </w:rPr>
        <w:t xml:space="preserve">MLT </w:t>
      </w:r>
      <w:r w:rsidRPr="00C37DDD">
        <w:rPr>
          <w:rFonts w:ascii="Arial" w:hAnsi="Arial"/>
          <w:sz w:val="20"/>
          <w:lang w:val="en-GB"/>
        </w:rPr>
        <w:t>guarantees. For most bilateral dev</w:t>
      </w:r>
      <w:r w:rsidR="00A7621C" w:rsidRPr="00C37DDD">
        <w:rPr>
          <w:rFonts w:ascii="Arial" w:hAnsi="Arial"/>
          <w:sz w:val="20"/>
          <w:lang w:val="en-GB"/>
        </w:rPr>
        <w:t>elopment financiers this is</w:t>
      </w:r>
      <w:r w:rsidRPr="00C37DDD">
        <w:rPr>
          <w:rFonts w:ascii="Arial" w:hAnsi="Arial"/>
          <w:sz w:val="20"/>
          <w:lang w:val="en-GB"/>
        </w:rPr>
        <w:t xml:space="preserve"> </w:t>
      </w:r>
      <w:r w:rsidR="00F66CAD" w:rsidRPr="00C37DDD">
        <w:rPr>
          <w:rFonts w:ascii="Arial" w:hAnsi="Arial"/>
          <w:sz w:val="20"/>
          <w:lang w:val="en-GB"/>
        </w:rPr>
        <w:t xml:space="preserve">much </w:t>
      </w:r>
      <w:r w:rsidRPr="00C37DDD">
        <w:rPr>
          <w:rFonts w:ascii="Arial" w:hAnsi="Arial"/>
          <w:sz w:val="20"/>
          <w:lang w:val="en-GB"/>
        </w:rPr>
        <w:t xml:space="preserve">lower. </w:t>
      </w:r>
      <w:r w:rsidR="007E750B" w:rsidRPr="00C37DDD">
        <w:rPr>
          <w:rFonts w:ascii="Arial" w:hAnsi="Arial"/>
          <w:sz w:val="20"/>
          <w:lang w:val="en-GB"/>
        </w:rPr>
        <w:t xml:space="preserve">The main business of DFIs is currently to provide Medium &amp; Long Term (MLT) loans to governments and projects in developing countries. The problem is that with these loans no or hardly any additional capital is directly mobilized. </w:t>
      </w:r>
      <w:r w:rsidRPr="00C37DDD">
        <w:rPr>
          <w:rFonts w:ascii="Arial" w:hAnsi="Arial"/>
          <w:sz w:val="20"/>
          <w:lang w:val="en-GB"/>
        </w:rPr>
        <w:t>There are many reasons why guarantee</w:t>
      </w:r>
      <w:r w:rsidR="002F72E7" w:rsidRPr="00C37DDD">
        <w:rPr>
          <w:rFonts w:ascii="Arial" w:hAnsi="Arial"/>
          <w:sz w:val="20"/>
          <w:lang w:val="en-GB"/>
        </w:rPr>
        <w:t>s are underutilized</w:t>
      </w:r>
      <w:r w:rsidR="007E750B" w:rsidRPr="00C37DDD">
        <w:rPr>
          <w:rFonts w:ascii="Arial" w:hAnsi="Arial"/>
          <w:sz w:val="20"/>
          <w:lang w:val="en-GB"/>
        </w:rPr>
        <w:t>.</w:t>
      </w:r>
      <w:r w:rsidR="002F72E7" w:rsidRPr="00C37DDD">
        <w:rPr>
          <w:rFonts w:ascii="Arial" w:hAnsi="Arial"/>
          <w:sz w:val="20"/>
          <w:lang w:val="en-GB"/>
        </w:rPr>
        <w:t xml:space="preserve"> </w:t>
      </w:r>
      <w:r w:rsidR="004E5E94" w:rsidRPr="00C37DDD">
        <w:rPr>
          <w:rFonts w:ascii="Arial" w:hAnsi="Arial"/>
          <w:sz w:val="20"/>
          <w:lang w:val="en-GB"/>
        </w:rPr>
        <w:t>For sovereign projects</w:t>
      </w:r>
      <w:r w:rsidR="00A7621C" w:rsidRPr="00C37DDD">
        <w:rPr>
          <w:rStyle w:val="Appelnotedebasdep"/>
          <w:rFonts w:ascii="Arial" w:hAnsi="Arial"/>
          <w:sz w:val="20"/>
          <w:lang w:val="en-GB"/>
        </w:rPr>
        <w:footnoteReference w:id="4"/>
      </w:r>
      <w:r w:rsidR="00F66CAD" w:rsidRPr="00C37DDD">
        <w:rPr>
          <w:rFonts w:ascii="Arial" w:hAnsi="Arial"/>
          <w:sz w:val="20"/>
          <w:lang w:val="en-GB"/>
        </w:rPr>
        <w:t xml:space="preserve"> – this is </w:t>
      </w:r>
      <w:r w:rsidR="00A7621C" w:rsidRPr="00C37DDD">
        <w:rPr>
          <w:rFonts w:ascii="Arial" w:hAnsi="Arial"/>
          <w:sz w:val="20"/>
          <w:lang w:val="en-GB"/>
        </w:rPr>
        <w:t xml:space="preserve">for most </w:t>
      </w:r>
      <w:r w:rsidR="007E750B" w:rsidRPr="00C37DDD">
        <w:rPr>
          <w:rFonts w:ascii="Arial" w:hAnsi="Arial"/>
          <w:sz w:val="20"/>
          <w:lang w:val="en-GB"/>
        </w:rPr>
        <w:t>MDBs</w:t>
      </w:r>
      <w:r w:rsidR="00A7621C" w:rsidRPr="00C37DDD">
        <w:rPr>
          <w:rFonts w:ascii="Arial" w:hAnsi="Arial"/>
          <w:sz w:val="20"/>
          <w:lang w:val="en-GB"/>
        </w:rPr>
        <w:t xml:space="preserve"> approximately 90% of their business</w:t>
      </w:r>
      <w:r w:rsidR="00F66CAD" w:rsidRPr="00C37DDD">
        <w:rPr>
          <w:rFonts w:ascii="Arial" w:hAnsi="Arial"/>
          <w:sz w:val="20"/>
          <w:lang w:val="en-GB"/>
        </w:rPr>
        <w:t xml:space="preserve"> –</w:t>
      </w:r>
      <w:r w:rsidR="00A7621C" w:rsidRPr="00C37DDD">
        <w:rPr>
          <w:rFonts w:ascii="Arial" w:hAnsi="Arial"/>
          <w:sz w:val="20"/>
          <w:lang w:val="en-GB"/>
        </w:rPr>
        <w:t xml:space="preserve"> the pricing </w:t>
      </w:r>
      <w:r w:rsidR="004E5E94" w:rsidRPr="00C37DDD">
        <w:rPr>
          <w:rFonts w:ascii="Arial" w:hAnsi="Arial"/>
          <w:sz w:val="20"/>
          <w:lang w:val="en-GB"/>
        </w:rPr>
        <w:t>of</w:t>
      </w:r>
      <w:r w:rsidR="00A7621C" w:rsidRPr="00C37DDD">
        <w:rPr>
          <w:rFonts w:ascii="Arial" w:hAnsi="Arial"/>
          <w:sz w:val="20"/>
          <w:lang w:val="en-GB"/>
        </w:rPr>
        <w:t xml:space="preserve"> sovereign loans and sovereign guarantees </w:t>
      </w:r>
      <w:r w:rsidR="004E5E94" w:rsidRPr="00C37DDD">
        <w:rPr>
          <w:rFonts w:ascii="Arial" w:hAnsi="Arial"/>
          <w:sz w:val="20"/>
          <w:lang w:val="en-GB"/>
        </w:rPr>
        <w:t>is the same</w:t>
      </w:r>
      <w:r w:rsidR="007E750B" w:rsidRPr="00C37DDD">
        <w:rPr>
          <w:rFonts w:ascii="Arial" w:hAnsi="Arial"/>
          <w:sz w:val="20"/>
          <w:lang w:val="en-GB"/>
        </w:rPr>
        <w:t>, which implies that a MDB</w:t>
      </w:r>
      <w:r w:rsidR="00A7621C" w:rsidRPr="00C37DDD">
        <w:rPr>
          <w:rFonts w:ascii="Arial" w:hAnsi="Arial"/>
          <w:sz w:val="20"/>
          <w:lang w:val="en-GB"/>
        </w:rPr>
        <w:t xml:space="preserve"> loan is always cheaper than a commercial bank loan</w:t>
      </w:r>
      <w:r w:rsidR="004E5E94" w:rsidRPr="00C37DDD">
        <w:rPr>
          <w:rFonts w:ascii="Arial" w:hAnsi="Arial"/>
          <w:sz w:val="20"/>
          <w:lang w:val="en-GB"/>
        </w:rPr>
        <w:t xml:space="preserve">/ capital market bond </w:t>
      </w:r>
      <w:r w:rsidR="007E750B" w:rsidRPr="00C37DDD">
        <w:rPr>
          <w:rFonts w:ascii="Arial" w:hAnsi="Arial"/>
          <w:sz w:val="20"/>
          <w:lang w:val="en-GB"/>
        </w:rPr>
        <w:t>+ a MDB</w:t>
      </w:r>
      <w:r w:rsidR="00A7621C" w:rsidRPr="00C37DDD">
        <w:rPr>
          <w:rFonts w:ascii="Arial" w:hAnsi="Arial"/>
          <w:sz w:val="20"/>
          <w:lang w:val="en-GB"/>
        </w:rPr>
        <w:t xml:space="preserve"> guarantee. The interest margins </w:t>
      </w:r>
      <w:r w:rsidR="007E750B" w:rsidRPr="00C37DDD">
        <w:rPr>
          <w:rFonts w:ascii="Arial" w:hAnsi="Arial"/>
          <w:sz w:val="20"/>
          <w:lang w:val="en-GB"/>
        </w:rPr>
        <w:t xml:space="preserve">for </w:t>
      </w:r>
      <w:r w:rsidR="00846CEC">
        <w:rPr>
          <w:rFonts w:ascii="Arial" w:hAnsi="Arial"/>
          <w:sz w:val="20"/>
          <w:lang w:val="en-GB"/>
        </w:rPr>
        <w:t xml:space="preserve">(sovereign) </w:t>
      </w:r>
      <w:r w:rsidR="007E750B" w:rsidRPr="00C37DDD">
        <w:rPr>
          <w:rFonts w:ascii="Arial" w:hAnsi="Arial"/>
          <w:sz w:val="20"/>
          <w:lang w:val="en-GB"/>
        </w:rPr>
        <w:t>MDB</w:t>
      </w:r>
      <w:r w:rsidR="004E5E94" w:rsidRPr="00C37DDD">
        <w:rPr>
          <w:rFonts w:ascii="Arial" w:hAnsi="Arial"/>
          <w:sz w:val="20"/>
          <w:lang w:val="en-GB"/>
        </w:rPr>
        <w:t xml:space="preserve"> financing or the premium for </w:t>
      </w:r>
      <w:r w:rsidR="00846CEC">
        <w:rPr>
          <w:rFonts w:ascii="Arial" w:hAnsi="Arial"/>
          <w:sz w:val="20"/>
          <w:lang w:val="en-GB"/>
        </w:rPr>
        <w:t xml:space="preserve">(sovereign) </w:t>
      </w:r>
      <w:r w:rsidR="007E750B" w:rsidRPr="00C37DDD">
        <w:rPr>
          <w:rFonts w:ascii="Arial" w:hAnsi="Arial"/>
          <w:sz w:val="20"/>
          <w:lang w:val="en-GB"/>
        </w:rPr>
        <w:t>MDB</w:t>
      </w:r>
      <w:r w:rsidR="00A7621C" w:rsidRPr="00C37DDD">
        <w:rPr>
          <w:rFonts w:ascii="Arial" w:hAnsi="Arial"/>
          <w:sz w:val="20"/>
          <w:lang w:val="en-GB"/>
        </w:rPr>
        <w:t xml:space="preserve"> guarantee</w:t>
      </w:r>
      <w:r w:rsidR="004E5E94" w:rsidRPr="00C37DDD">
        <w:rPr>
          <w:rFonts w:ascii="Arial" w:hAnsi="Arial"/>
          <w:sz w:val="20"/>
          <w:lang w:val="en-GB"/>
        </w:rPr>
        <w:t>s</w:t>
      </w:r>
      <w:r w:rsidR="00A7621C" w:rsidRPr="00C37DDD">
        <w:rPr>
          <w:rFonts w:ascii="Arial" w:hAnsi="Arial"/>
          <w:sz w:val="20"/>
          <w:lang w:val="en-GB"/>
        </w:rPr>
        <w:t xml:space="preserve"> are not risk based, but for all </w:t>
      </w:r>
      <w:r w:rsidR="00053A03" w:rsidRPr="00C37DDD">
        <w:rPr>
          <w:rFonts w:ascii="Arial" w:hAnsi="Arial"/>
          <w:sz w:val="20"/>
          <w:lang w:val="en-GB"/>
        </w:rPr>
        <w:t>DFI member</w:t>
      </w:r>
      <w:r w:rsidR="004E5E94" w:rsidRPr="00C37DDD">
        <w:rPr>
          <w:rFonts w:ascii="Arial" w:hAnsi="Arial"/>
          <w:sz w:val="20"/>
          <w:lang w:val="en-GB"/>
        </w:rPr>
        <w:t xml:space="preserve"> countries set at the same </w:t>
      </w:r>
      <w:r w:rsidR="00053A03" w:rsidRPr="00C37DDD">
        <w:rPr>
          <w:rFonts w:ascii="Arial" w:hAnsi="Arial"/>
          <w:sz w:val="20"/>
          <w:lang w:val="en-GB"/>
        </w:rPr>
        <w:t>(</w:t>
      </w:r>
      <w:r w:rsidR="004E5E94" w:rsidRPr="00C37DDD">
        <w:rPr>
          <w:rFonts w:ascii="Arial" w:hAnsi="Arial"/>
          <w:sz w:val="20"/>
          <w:lang w:val="en-GB"/>
        </w:rPr>
        <w:t>low semi-concessional</w:t>
      </w:r>
      <w:r w:rsidR="00053A03" w:rsidRPr="00C37DDD">
        <w:rPr>
          <w:rFonts w:ascii="Arial" w:hAnsi="Arial"/>
          <w:sz w:val="20"/>
          <w:lang w:val="en-GB"/>
        </w:rPr>
        <w:t>)</w:t>
      </w:r>
      <w:r w:rsidR="004E5E94" w:rsidRPr="00C37DDD">
        <w:rPr>
          <w:rFonts w:ascii="Arial" w:hAnsi="Arial"/>
          <w:sz w:val="20"/>
          <w:lang w:val="en-GB"/>
        </w:rPr>
        <w:t xml:space="preserve"> level. </w:t>
      </w:r>
      <w:r w:rsidR="00E83D9B">
        <w:rPr>
          <w:rFonts w:ascii="Arial" w:hAnsi="Arial"/>
          <w:sz w:val="20"/>
          <w:lang w:val="en-GB"/>
        </w:rPr>
        <w:t>I</w:t>
      </w:r>
      <w:r w:rsidR="004E5E94" w:rsidRPr="00C37DDD">
        <w:rPr>
          <w:rFonts w:ascii="Arial" w:hAnsi="Arial"/>
          <w:sz w:val="20"/>
          <w:lang w:val="en-GB"/>
        </w:rPr>
        <w:t xml:space="preserve">t does not take into account that the operational costs of a guarantee are </w:t>
      </w:r>
      <w:r w:rsidR="002D1CE5" w:rsidRPr="00C37DDD">
        <w:rPr>
          <w:rFonts w:ascii="Arial" w:hAnsi="Arial"/>
          <w:sz w:val="20"/>
          <w:lang w:val="en-GB"/>
        </w:rPr>
        <w:t xml:space="preserve">in general </w:t>
      </w:r>
      <w:r w:rsidR="004E5E94" w:rsidRPr="00C37DDD">
        <w:rPr>
          <w:rFonts w:ascii="Arial" w:hAnsi="Arial"/>
          <w:sz w:val="20"/>
          <w:lang w:val="en-GB"/>
        </w:rPr>
        <w:t xml:space="preserve">substantially lower than for a </w:t>
      </w:r>
      <w:r w:rsidR="002D1CE5" w:rsidRPr="00C37DDD">
        <w:rPr>
          <w:rFonts w:ascii="Arial" w:hAnsi="Arial"/>
          <w:sz w:val="20"/>
          <w:lang w:val="en-GB"/>
        </w:rPr>
        <w:t xml:space="preserve">loan. In the </w:t>
      </w:r>
      <w:r w:rsidR="007E750B" w:rsidRPr="00C37DDD">
        <w:rPr>
          <w:rFonts w:ascii="Arial" w:hAnsi="Arial"/>
          <w:sz w:val="20"/>
          <w:lang w:val="en-GB"/>
        </w:rPr>
        <w:t xml:space="preserve">commercial </w:t>
      </w:r>
      <w:r w:rsidR="002D1CE5" w:rsidRPr="00C37DDD">
        <w:rPr>
          <w:rFonts w:ascii="Arial" w:hAnsi="Arial"/>
          <w:sz w:val="20"/>
          <w:lang w:val="en-GB"/>
        </w:rPr>
        <w:t>market Private I</w:t>
      </w:r>
      <w:r w:rsidR="004E5E94" w:rsidRPr="00C37DDD">
        <w:rPr>
          <w:rFonts w:ascii="Arial" w:hAnsi="Arial"/>
          <w:sz w:val="20"/>
          <w:lang w:val="en-GB"/>
        </w:rPr>
        <w:t xml:space="preserve">nsurers </w:t>
      </w:r>
      <w:r w:rsidR="002D1CE5" w:rsidRPr="00C37DDD">
        <w:rPr>
          <w:rFonts w:ascii="Arial" w:hAnsi="Arial"/>
          <w:sz w:val="20"/>
          <w:lang w:val="en-GB"/>
        </w:rPr>
        <w:t xml:space="preserve">(PRIs) </w:t>
      </w:r>
      <w:r w:rsidR="004E5E94" w:rsidRPr="00C37DDD">
        <w:rPr>
          <w:rFonts w:ascii="Arial" w:hAnsi="Arial"/>
          <w:sz w:val="20"/>
          <w:lang w:val="en-GB"/>
        </w:rPr>
        <w:t xml:space="preserve">offer premiums, which are roughly 70% of the interest rate margin of a commercial bank loan. The current </w:t>
      </w:r>
      <w:r w:rsidR="005D6A2B" w:rsidRPr="00C37DDD">
        <w:rPr>
          <w:rFonts w:ascii="Arial" w:hAnsi="Arial"/>
          <w:sz w:val="20"/>
          <w:lang w:val="en-GB"/>
        </w:rPr>
        <w:t xml:space="preserve">discriminatory </w:t>
      </w:r>
      <w:r w:rsidR="004E5E94" w:rsidRPr="00C37DDD">
        <w:rPr>
          <w:rFonts w:ascii="Arial" w:hAnsi="Arial"/>
          <w:sz w:val="20"/>
          <w:lang w:val="en-GB"/>
        </w:rPr>
        <w:t xml:space="preserve">pricing practices </w:t>
      </w:r>
      <w:r w:rsidR="00FF6CD9" w:rsidRPr="00C37DDD">
        <w:rPr>
          <w:rFonts w:ascii="Arial" w:hAnsi="Arial"/>
          <w:sz w:val="20"/>
          <w:lang w:val="en-GB"/>
        </w:rPr>
        <w:t>of MDB</w:t>
      </w:r>
      <w:r w:rsidR="002D1CE5" w:rsidRPr="00C37DDD">
        <w:rPr>
          <w:rFonts w:ascii="Arial" w:hAnsi="Arial"/>
          <w:sz w:val="20"/>
          <w:lang w:val="en-GB"/>
        </w:rPr>
        <w:t xml:space="preserve">s </w:t>
      </w:r>
      <w:r w:rsidR="004E5E94" w:rsidRPr="00C37DDD">
        <w:rPr>
          <w:rFonts w:ascii="Arial" w:hAnsi="Arial"/>
          <w:sz w:val="20"/>
          <w:lang w:val="en-GB"/>
        </w:rPr>
        <w:t xml:space="preserve">for sovereign loans / guarantees are therefore a huge disincentive to make use of guarantees. </w:t>
      </w:r>
    </w:p>
    <w:p w:rsidR="00C37DDD" w:rsidRDefault="00C37DDD">
      <w:pPr>
        <w:rPr>
          <w:rFonts w:ascii="Arial" w:hAnsi="Arial"/>
          <w:sz w:val="20"/>
          <w:lang w:val="en-GB"/>
        </w:rPr>
      </w:pPr>
    </w:p>
    <w:p w:rsidR="00C37DDD" w:rsidRDefault="002F72E7">
      <w:pPr>
        <w:rPr>
          <w:rFonts w:ascii="Arial" w:hAnsi="Arial"/>
          <w:sz w:val="20"/>
          <w:lang w:val="en-GB"/>
        </w:rPr>
      </w:pPr>
      <w:r w:rsidRPr="00C37DDD">
        <w:rPr>
          <w:rFonts w:ascii="Arial" w:hAnsi="Arial"/>
          <w:sz w:val="20"/>
          <w:lang w:val="en-GB"/>
        </w:rPr>
        <w:t xml:space="preserve">Another important factor </w:t>
      </w:r>
      <w:r w:rsidR="00FF6CD9" w:rsidRPr="00C37DDD">
        <w:rPr>
          <w:rFonts w:ascii="Arial" w:hAnsi="Arial"/>
          <w:sz w:val="20"/>
          <w:lang w:val="en-GB"/>
        </w:rPr>
        <w:t xml:space="preserve">is that both within the MDB community and their borrowing sovereign clients guarantees are often perceived as complex, which has likely to do with the fact that they are not familiar with the benefits of guarantees and how they work. Capacity building on guarantees is therefore crucial. </w:t>
      </w:r>
    </w:p>
    <w:p w:rsidR="000F3CBA" w:rsidRPr="00C37DDD" w:rsidRDefault="00386A5A">
      <w:pPr>
        <w:rPr>
          <w:rFonts w:ascii="Arial" w:hAnsi="Arial"/>
          <w:sz w:val="20"/>
          <w:lang w:val="en-GB"/>
        </w:rPr>
      </w:pPr>
      <w:r w:rsidRPr="00C37DDD">
        <w:rPr>
          <w:rFonts w:ascii="Arial" w:hAnsi="Arial"/>
          <w:sz w:val="20"/>
          <w:lang w:val="en-GB"/>
        </w:rPr>
        <w:lastRenderedPageBreak/>
        <w:t>An</w:t>
      </w:r>
      <w:r w:rsidR="00FF6CD9" w:rsidRPr="00C37DDD">
        <w:rPr>
          <w:rFonts w:ascii="Arial" w:hAnsi="Arial"/>
          <w:sz w:val="20"/>
          <w:lang w:val="en-GB"/>
        </w:rPr>
        <w:t xml:space="preserve"> </w:t>
      </w:r>
      <w:r w:rsidR="0028795C" w:rsidRPr="00C37DDD">
        <w:rPr>
          <w:rFonts w:ascii="Arial" w:hAnsi="Arial"/>
          <w:sz w:val="20"/>
          <w:lang w:val="en-GB"/>
        </w:rPr>
        <w:t xml:space="preserve">important </w:t>
      </w:r>
      <w:r w:rsidR="00FF6CD9" w:rsidRPr="00C37DDD">
        <w:rPr>
          <w:rFonts w:ascii="Arial" w:hAnsi="Arial"/>
          <w:sz w:val="20"/>
          <w:lang w:val="en-GB"/>
        </w:rPr>
        <w:t xml:space="preserve">regulatory barrier </w:t>
      </w:r>
      <w:r w:rsidR="002F72E7" w:rsidRPr="00C37DDD">
        <w:rPr>
          <w:rFonts w:ascii="Arial" w:hAnsi="Arial"/>
          <w:sz w:val="20"/>
          <w:lang w:val="en-GB"/>
        </w:rPr>
        <w:t>– in particular for bilateral DFIs –</w:t>
      </w:r>
      <w:r w:rsidR="00FF6CD9" w:rsidRPr="00C37DDD">
        <w:rPr>
          <w:rFonts w:ascii="Arial" w:hAnsi="Arial"/>
          <w:sz w:val="20"/>
          <w:lang w:val="en-GB"/>
        </w:rPr>
        <w:t xml:space="preserve"> is </w:t>
      </w:r>
      <w:r w:rsidR="002F72E7" w:rsidRPr="00C37DDD">
        <w:rPr>
          <w:rFonts w:ascii="Arial" w:hAnsi="Arial"/>
          <w:sz w:val="20"/>
          <w:lang w:val="en-GB"/>
        </w:rPr>
        <w:t>the fact that guarantees are not adequately recognized within the ODA</w:t>
      </w:r>
      <w:r w:rsidR="00FF6CD9" w:rsidRPr="00C37DDD">
        <w:rPr>
          <w:rStyle w:val="Appelnotedebasdep"/>
          <w:rFonts w:ascii="Arial" w:hAnsi="Arial"/>
          <w:sz w:val="20"/>
          <w:lang w:val="en-GB"/>
        </w:rPr>
        <w:footnoteReference w:id="5"/>
      </w:r>
      <w:r w:rsidR="002F72E7" w:rsidRPr="00C37DDD">
        <w:rPr>
          <w:rFonts w:ascii="Arial" w:hAnsi="Arial"/>
          <w:sz w:val="20"/>
          <w:lang w:val="en-GB"/>
        </w:rPr>
        <w:t xml:space="preserve"> framework of the OECD DAC. ODA measures development finance </w:t>
      </w:r>
      <w:r w:rsidR="002F72E7" w:rsidRPr="00C37DDD">
        <w:rPr>
          <w:rFonts w:ascii="Arial" w:hAnsi="Arial"/>
          <w:sz w:val="20"/>
          <w:u w:val="single"/>
          <w:lang w:val="en-GB"/>
        </w:rPr>
        <w:t>flows</w:t>
      </w:r>
      <w:r w:rsidR="005D6A2B" w:rsidRPr="00C37DDD">
        <w:rPr>
          <w:rFonts w:ascii="Arial" w:hAnsi="Arial"/>
          <w:sz w:val="20"/>
          <w:lang w:val="en-GB"/>
        </w:rPr>
        <w:t xml:space="preserve"> and guarantees are</w:t>
      </w:r>
      <w:r w:rsidR="002F72E7" w:rsidRPr="00C37DDD">
        <w:rPr>
          <w:rFonts w:ascii="Arial" w:hAnsi="Arial"/>
          <w:sz w:val="20"/>
          <w:lang w:val="en-GB"/>
        </w:rPr>
        <w:t xml:space="preserve"> contingent liabilit</w:t>
      </w:r>
      <w:r w:rsidR="005D6A2B" w:rsidRPr="00C37DDD">
        <w:rPr>
          <w:rFonts w:ascii="Arial" w:hAnsi="Arial"/>
          <w:sz w:val="20"/>
          <w:lang w:val="en-GB"/>
        </w:rPr>
        <w:t>ies</w:t>
      </w:r>
      <w:r w:rsidR="002F72E7" w:rsidRPr="00C37DDD">
        <w:rPr>
          <w:rFonts w:ascii="Arial" w:hAnsi="Arial"/>
          <w:sz w:val="20"/>
          <w:lang w:val="en-GB"/>
        </w:rPr>
        <w:t>, which only lead to a financ</w:t>
      </w:r>
      <w:r w:rsidR="002D1CE5" w:rsidRPr="00C37DDD">
        <w:rPr>
          <w:rFonts w:ascii="Arial" w:hAnsi="Arial"/>
          <w:sz w:val="20"/>
          <w:lang w:val="en-GB"/>
        </w:rPr>
        <w:t>ial</w:t>
      </w:r>
      <w:r w:rsidR="002F72E7" w:rsidRPr="00C37DDD">
        <w:rPr>
          <w:rFonts w:ascii="Arial" w:hAnsi="Arial"/>
          <w:sz w:val="20"/>
          <w:lang w:val="en-GB"/>
        </w:rPr>
        <w:t xml:space="preserve"> flow in ca</w:t>
      </w:r>
      <w:r w:rsidR="000F3CBA" w:rsidRPr="00C37DDD">
        <w:rPr>
          <w:rFonts w:ascii="Arial" w:hAnsi="Arial"/>
          <w:sz w:val="20"/>
          <w:lang w:val="en-GB"/>
        </w:rPr>
        <w:t xml:space="preserve">se of a claims payment. </w:t>
      </w:r>
      <w:r w:rsidR="002D1CE5" w:rsidRPr="00C37DDD">
        <w:rPr>
          <w:rFonts w:ascii="Arial" w:hAnsi="Arial"/>
          <w:sz w:val="20"/>
          <w:lang w:val="en-GB"/>
        </w:rPr>
        <w:t>This clearly shows that the</w:t>
      </w:r>
      <w:r w:rsidR="0028795C" w:rsidRPr="00C37DDD">
        <w:rPr>
          <w:rFonts w:ascii="Arial" w:hAnsi="Arial"/>
          <w:sz w:val="20"/>
          <w:lang w:val="en-GB"/>
        </w:rPr>
        <w:t xml:space="preserve"> current ODA definition is out </w:t>
      </w:r>
      <w:r w:rsidR="002D1CE5" w:rsidRPr="00C37DDD">
        <w:rPr>
          <w:rFonts w:ascii="Arial" w:hAnsi="Arial"/>
          <w:sz w:val="20"/>
          <w:lang w:val="en-GB"/>
        </w:rPr>
        <w:t xml:space="preserve">dated. </w:t>
      </w:r>
      <w:r w:rsidR="000F3CBA" w:rsidRPr="00C37DDD">
        <w:rPr>
          <w:rFonts w:ascii="Arial" w:hAnsi="Arial"/>
          <w:sz w:val="20"/>
          <w:lang w:val="en-GB"/>
        </w:rPr>
        <w:t xml:space="preserve">A revision of the definition </w:t>
      </w:r>
      <w:r w:rsidR="0098625C" w:rsidRPr="00C37DDD">
        <w:rPr>
          <w:rFonts w:ascii="Arial" w:hAnsi="Arial"/>
          <w:sz w:val="20"/>
          <w:lang w:val="en-GB"/>
        </w:rPr>
        <w:t>–</w:t>
      </w:r>
      <w:r w:rsidR="00AF629F">
        <w:rPr>
          <w:rFonts w:ascii="Arial" w:hAnsi="Arial"/>
          <w:sz w:val="20"/>
          <w:lang w:val="en-GB"/>
        </w:rPr>
        <w:t xml:space="preserve"> by including guarantees</w:t>
      </w:r>
      <w:r w:rsidR="0098625C" w:rsidRPr="00C37DDD">
        <w:rPr>
          <w:rFonts w:ascii="Arial" w:hAnsi="Arial"/>
          <w:sz w:val="20"/>
          <w:lang w:val="en-GB"/>
        </w:rPr>
        <w:t xml:space="preserve"> as viable ODA instrument</w:t>
      </w:r>
      <w:r w:rsidR="00AF629F">
        <w:rPr>
          <w:rFonts w:ascii="Arial" w:hAnsi="Arial"/>
          <w:sz w:val="20"/>
          <w:lang w:val="en-GB"/>
        </w:rPr>
        <w:t>s</w:t>
      </w:r>
      <w:r w:rsidR="0098625C" w:rsidRPr="00C37DDD">
        <w:rPr>
          <w:rFonts w:ascii="Arial" w:hAnsi="Arial"/>
          <w:sz w:val="20"/>
          <w:lang w:val="en-GB"/>
        </w:rPr>
        <w:t xml:space="preserve"> </w:t>
      </w:r>
      <w:r w:rsidR="004E5E94" w:rsidRPr="00C37DDD">
        <w:rPr>
          <w:rFonts w:ascii="Arial" w:hAnsi="Arial"/>
          <w:sz w:val="20"/>
          <w:lang w:val="en-GB"/>
        </w:rPr>
        <w:t>–</w:t>
      </w:r>
      <w:r w:rsidR="0098625C" w:rsidRPr="00C37DDD">
        <w:rPr>
          <w:rFonts w:ascii="Arial" w:hAnsi="Arial"/>
          <w:sz w:val="20"/>
          <w:lang w:val="en-GB"/>
        </w:rPr>
        <w:t xml:space="preserve"> </w:t>
      </w:r>
      <w:r w:rsidR="000F3CBA" w:rsidRPr="00C37DDD">
        <w:rPr>
          <w:rFonts w:ascii="Arial" w:hAnsi="Arial"/>
          <w:sz w:val="20"/>
          <w:lang w:val="en-GB"/>
        </w:rPr>
        <w:t xml:space="preserve">is therefore urgently needed. </w:t>
      </w:r>
    </w:p>
    <w:p w:rsidR="000F3CBA" w:rsidRPr="00C37DDD" w:rsidRDefault="000F3CBA">
      <w:pPr>
        <w:rPr>
          <w:rFonts w:ascii="Arial" w:hAnsi="Arial"/>
          <w:sz w:val="20"/>
          <w:lang w:val="en-GB"/>
        </w:rPr>
      </w:pPr>
    </w:p>
    <w:p w:rsidR="001726EE" w:rsidRPr="00C37DDD" w:rsidRDefault="001726EE" w:rsidP="001726EE">
      <w:pPr>
        <w:rPr>
          <w:rFonts w:ascii="Arial" w:hAnsi="Arial"/>
          <w:b/>
          <w:i/>
          <w:sz w:val="20"/>
          <w:lang w:val="en-GB"/>
        </w:rPr>
      </w:pPr>
      <w:r>
        <w:rPr>
          <w:rFonts w:ascii="Arial" w:hAnsi="Arial"/>
          <w:b/>
          <w:i/>
          <w:sz w:val="20"/>
          <w:lang w:val="en-GB"/>
        </w:rPr>
        <w:t>T</w:t>
      </w:r>
      <w:r w:rsidRPr="00C37DDD">
        <w:rPr>
          <w:rFonts w:ascii="Arial" w:hAnsi="Arial"/>
          <w:b/>
          <w:i/>
          <w:sz w:val="20"/>
          <w:lang w:val="en-GB"/>
        </w:rPr>
        <w:t xml:space="preserve">he </w:t>
      </w:r>
      <w:r>
        <w:rPr>
          <w:rFonts w:ascii="Arial" w:hAnsi="Arial"/>
          <w:b/>
          <w:i/>
          <w:sz w:val="20"/>
          <w:lang w:val="en-GB"/>
        </w:rPr>
        <w:t xml:space="preserve">strategic country </w:t>
      </w:r>
      <w:r w:rsidRPr="00C37DDD">
        <w:rPr>
          <w:rFonts w:ascii="Arial" w:hAnsi="Arial"/>
          <w:b/>
          <w:i/>
          <w:sz w:val="20"/>
          <w:lang w:val="en-GB"/>
        </w:rPr>
        <w:t>dialogue</w:t>
      </w:r>
      <w:r>
        <w:rPr>
          <w:rFonts w:ascii="Arial" w:hAnsi="Arial"/>
          <w:b/>
          <w:i/>
          <w:sz w:val="20"/>
          <w:lang w:val="en-GB"/>
        </w:rPr>
        <w:t>s</w:t>
      </w:r>
      <w:r w:rsidRPr="00C37DDD">
        <w:rPr>
          <w:rFonts w:ascii="Arial" w:hAnsi="Arial"/>
          <w:b/>
          <w:i/>
          <w:sz w:val="20"/>
          <w:lang w:val="en-GB"/>
        </w:rPr>
        <w:t xml:space="preserve"> betwe</w:t>
      </w:r>
      <w:r>
        <w:rPr>
          <w:rFonts w:ascii="Arial" w:hAnsi="Arial"/>
          <w:b/>
          <w:i/>
          <w:sz w:val="20"/>
          <w:lang w:val="en-GB"/>
        </w:rPr>
        <w:t xml:space="preserve">en developing countries and </w:t>
      </w:r>
      <w:r w:rsidRPr="00C37DDD">
        <w:rPr>
          <w:rFonts w:ascii="Arial" w:hAnsi="Arial"/>
          <w:b/>
          <w:i/>
          <w:sz w:val="20"/>
          <w:lang w:val="en-GB"/>
        </w:rPr>
        <w:t>DFIs</w:t>
      </w:r>
    </w:p>
    <w:p w:rsidR="00FF6CD9" w:rsidRPr="00C37DDD" w:rsidRDefault="002D1CE5" w:rsidP="002D1CE5">
      <w:pPr>
        <w:rPr>
          <w:rFonts w:ascii="Arial" w:hAnsi="Arial"/>
          <w:sz w:val="20"/>
          <w:lang w:val="en-GB"/>
        </w:rPr>
      </w:pPr>
      <w:r w:rsidRPr="00C37DDD">
        <w:rPr>
          <w:rFonts w:ascii="Arial" w:hAnsi="Arial"/>
          <w:sz w:val="20"/>
          <w:lang w:val="en-GB"/>
        </w:rPr>
        <w:t>It is common practice with</w:t>
      </w:r>
      <w:r w:rsidR="001528E4" w:rsidRPr="00C37DDD">
        <w:rPr>
          <w:rFonts w:ascii="Arial" w:hAnsi="Arial"/>
          <w:sz w:val="20"/>
          <w:lang w:val="en-GB"/>
        </w:rPr>
        <w:t xml:space="preserve">in the DFI community to develop together </w:t>
      </w:r>
      <w:r w:rsidR="0098625C" w:rsidRPr="00C37DDD">
        <w:rPr>
          <w:rFonts w:ascii="Arial" w:hAnsi="Arial"/>
          <w:sz w:val="20"/>
          <w:lang w:val="en-GB"/>
        </w:rPr>
        <w:t xml:space="preserve">with governments of developing countries </w:t>
      </w:r>
      <w:r w:rsidR="001528E4" w:rsidRPr="00C37DDD">
        <w:rPr>
          <w:rFonts w:ascii="Arial" w:hAnsi="Arial"/>
          <w:sz w:val="20"/>
          <w:lang w:val="en-GB"/>
        </w:rPr>
        <w:t xml:space="preserve">a country strategy on how to finance the development </w:t>
      </w:r>
      <w:r w:rsidR="00FF6CD9" w:rsidRPr="00C37DDD">
        <w:rPr>
          <w:rFonts w:ascii="Arial" w:hAnsi="Arial"/>
          <w:sz w:val="20"/>
          <w:lang w:val="en-GB"/>
        </w:rPr>
        <w:t>objectives</w:t>
      </w:r>
      <w:r w:rsidR="001528E4" w:rsidRPr="00C37DDD">
        <w:rPr>
          <w:rFonts w:ascii="Arial" w:hAnsi="Arial"/>
          <w:sz w:val="20"/>
          <w:lang w:val="en-GB"/>
        </w:rPr>
        <w:t xml:space="preserve"> of</w:t>
      </w:r>
      <w:r w:rsidRPr="00C37DDD">
        <w:rPr>
          <w:rFonts w:ascii="Arial" w:hAnsi="Arial"/>
          <w:sz w:val="20"/>
          <w:lang w:val="en-GB"/>
        </w:rPr>
        <w:t xml:space="preserve"> a</w:t>
      </w:r>
      <w:r w:rsidR="001528E4" w:rsidRPr="00C37DDD">
        <w:rPr>
          <w:rFonts w:ascii="Arial" w:hAnsi="Arial"/>
          <w:sz w:val="20"/>
          <w:lang w:val="en-GB"/>
        </w:rPr>
        <w:t xml:space="preserve"> </w:t>
      </w:r>
      <w:r w:rsidR="0098625C" w:rsidRPr="00C37DDD">
        <w:rPr>
          <w:rFonts w:ascii="Arial" w:hAnsi="Arial"/>
          <w:sz w:val="20"/>
          <w:lang w:val="en-GB"/>
        </w:rPr>
        <w:t>country.</w:t>
      </w:r>
      <w:r w:rsidR="001528E4" w:rsidRPr="00C37DDD">
        <w:rPr>
          <w:rFonts w:ascii="Arial" w:hAnsi="Arial"/>
          <w:sz w:val="20"/>
          <w:lang w:val="en-GB"/>
        </w:rPr>
        <w:t xml:space="preserve"> In these so</w:t>
      </w:r>
      <w:r w:rsidR="0098625C" w:rsidRPr="00C37DDD">
        <w:rPr>
          <w:rFonts w:ascii="Arial" w:hAnsi="Arial"/>
          <w:sz w:val="20"/>
          <w:lang w:val="en-GB"/>
        </w:rPr>
        <w:t>-</w:t>
      </w:r>
      <w:r w:rsidR="001528E4" w:rsidRPr="00C37DDD">
        <w:rPr>
          <w:rFonts w:ascii="Arial" w:hAnsi="Arial"/>
          <w:sz w:val="20"/>
          <w:lang w:val="en-GB"/>
        </w:rPr>
        <w:t>called country strategy dial</w:t>
      </w:r>
      <w:r w:rsidR="0098625C" w:rsidRPr="00C37DDD">
        <w:rPr>
          <w:rFonts w:ascii="Arial" w:hAnsi="Arial"/>
          <w:sz w:val="20"/>
          <w:lang w:val="en-GB"/>
        </w:rPr>
        <w:t>o</w:t>
      </w:r>
      <w:r w:rsidR="001528E4" w:rsidRPr="00C37DDD">
        <w:rPr>
          <w:rFonts w:ascii="Arial" w:hAnsi="Arial"/>
          <w:sz w:val="20"/>
          <w:lang w:val="en-GB"/>
        </w:rPr>
        <w:t xml:space="preserve">gues the discussion is focused on the </w:t>
      </w:r>
      <w:r w:rsidR="0098625C" w:rsidRPr="00C37DDD">
        <w:rPr>
          <w:rFonts w:ascii="Arial" w:hAnsi="Arial"/>
          <w:sz w:val="20"/>
          <w:lang w:val="en-GB"/>
        </w:rPr>
        <w:t xml:space="preserve">development </w:t>
      </w:r>
      <w:r w:rsidR="00FF6CD9" w:rsidRPr="00C37DDD">
        <w:rPr>
          <w:rFonts w:ascii="Arial" w:hAnsi="Arial"/>
          <w:sz w:val="20"/>
          <w:lang w:val="en-GB"/>
        </w:rPr>
        <w:t>priorities</w:t>
      </w:r>
      <w:r w:rsidR="0098625C" w:rsidRPr="00C37DDD">
        <w:rPr>
          <w:rFonts w:ascii="Arial" w:hAnsi="Arial"/>
          <w:sz w:val="20"/>
          <w:lang w:val="en-GB"/>
        </w:rPr>
        <w:t xml:space="preserve"> of g</w:t>
      </w:r>
      <w:r w:rsidR="001528E4" w:rsidRPr="00C37DDD">
        <w:rPr>
          <w:rFonts w:ascii="Arial" w:hAnsi="Arial"/>
          <w:sz w:val="20"/>
          <w:lang w:val="en-GB"/>
        </w:rPr>
        <w:t>overnment</w:t>
      </w:r>
      <w:r w:rsidR="00FF6CD9" w:rsidRPr="00C37DDD">
        <w:rPr>
          <w:rFonts w:ascii="Arial" w:hAnsi="Arial"/>
          <w:sz w:val="20"/>
          <w:lang w:val="en-GB"/>
        </w:rPr>
        <w:t>s</w:t>
      </w:r>
      <w:r w:rsidR="001528E4" w:rsidRPr="00C37DDD">
        <w:rPr>
          <w:rFonts w:ascii="Arial" w:hAnsi="Arial"/>
          <w:sz w:val="20"/>
          <w:lang w:val="en-GB"/>
        </w:rPr>
        <w:t xml:space="preserve"> and how much development finance </w:t>
      </w:r>
      <w:r w:rsidR="00FF6CD9" w:rsidRPr="00C37DDD">
        <w:rPr>
          <w:rFonts w:ascii="Arial" w:hAnsi="Arial"/>
          <w:sz w:val="20"/>
          <w:lang w:val="en-GB"/>
        </w:rPr>
        <w:t>can be obtained</w:t>
      </w:r>
      <w:r w:rsidR="001528E4" w:rsidRPr="00C37DDD">
        <w:rPr>
          <w:rFonts w:ascii="Arial" w:hAnsi="Arial"/>
          <w:sz w:val="20"/>
          <w:lang w:val="en-GB"/>
        </w:rPr>
        <w:t xml:space="preserve"> from the DFI and other potential donors. </w:t>
      </w:r>
      <w:r w:rsidR="0098625C" w:rsidRPr="00C37DDD">
        <w:rPr>
          <w:rFonts w:ascii="Arial" w:hAnsi="Arial"/>
          <w:sz w:val="20"/>
          <w:lang w:val="en-GB"/>
        </w:rPr>
        <w:t xml:space="preserve">Whether </w:t>
      </w:r>
      <w:r w:rsidR="004541A4" w:rsidRPr="00C37DDD">
        <w:rPr>
          <w:rFonts w:ascii="Arial" w:hAnsi="Arial"/>
          <w:sz w:val="20"/>
          <w:lang w:val="en-GB"/>
        </w:rPr>
        <w:t>the</w:t>
      </w:r>
      <w:r w:rsidR="0098625C" w:rsidRPr="00C37DDD">
        <w:rPr>
          <w:rFonts w:ascii="Arial" w:hAnsi="Arial"/>
          <w:sz w:val="20"/>
          <w:lang w:val="en-GB"/>
        </w:rPr>
        <w:t xml:space="preserve"> development objectives can be financed through o</w:t>
      </w:r>
      <w:r w:rsidR="001528E4" w:rsidRPr="00C37DDD">
        <w:rPr>
          <w:rFonts w:ascii="Arial" w:hAnsi="Arial"/>
          <w:sz w:val="20"/>
          <w:lang w:val="en-GB"/>
        </w:rPr>
        <w:t xml:space="preserve">ther (market based) sources of capital </w:t>
      </w:r>
      <w:r w:rsidR="0028795C" w:rsidRPr="00C37DDD">
        <w:rPr>
          <w:rFonts w:ascii="Arial" w:hAnsi="Arial"/>
          <w:sz w:val="20"/>
          <w:lang w:val="en-GB"/>
        </w:rPr>
        <w:t xml:space="preserve">(e.g. commercial banks, capital market, </w:t>
      </w:r>
      <w:r w:rsidR="001726EE">
        <w:rPr>
          <w:rFonts w:ascii="Arial" w:hAnsi="Arial"/>
          <w:sz w:val="20"/>
          <w:lang w:val="en-GB"/>
        </w:rPr>
        <w:t>official Export Credit Agencies (ECAs)</w:t>
      </w:r>
      <w:r w:rsidR="0028795C" w:rsidRPr="00C37DDD">
        <w:rPr>
          <w:rFonts w:ascii="Arial" w:hAnsi="Arial"/>
          <w:sz w:val="20"/>
          <w:lang w:val="en-GB"/>
        </w:rPr>
        <w:t xml:space="preserve"> </w:t>
      </w:r>
      <w:r w:rsidR="0098625C" w:rsidRPr="00C37DDD">
        <w:rPr>
          <w:rFonts w:ascii="Arial" w:hAnsi="Arial"/>
          <w:sz w:val="20"/>
          <w:lang w:val="en-GB"/>
        </w:rPr>
        <w:t xml:space="preserve">and </w:t>
      </w:r>
      <w:r w:rsidR="001528E4" w:rsidRPr="00C37DDD">
        <w:rPr>
          <w:rFonts w:ascii="Arial" w:hAnsi="Arial"/>
          <w:sz w:val="20"/>
          <w:lang w:val="en-GB"/>
        </w:rPr>
        <w:t xml:space="preserve">how scarce DFI capital can mobilize </w:t>
      </w:r>
      <w:r w:rsidR="004541A4" w:rsidRPr="00C37DDD">
        <w:rPr>
          <w:rFonts w:ascii="Arial" w:hAnsi="Arial"/>
          <w:sz w:val="20"/>
          <w:lang w:val="en-GB"/>
        </w:rPr>
        <w:t xml:space="preserve">these other sources of capital (e.g. through guarantees) </w:t>
      </w:r>
      <w:r w:rsidR="001528E4" w:rsidRPr="00C37DDD">
        <w:rPr>
          <w:rFonts w:ascii="Arial" w:hAnsi="Arial"/>
          <w:sz w:val="20"/>
          <w:lang w:val="en-GB"/>
        </w:rPr>
        <w:t xml:space="preserve">are </w:t>
      </w:r>
      <w:r w:rsidR="004541A4" w:rsidRPr="00C37DDD">
        <w:rPr>
          <w:rFonts w:ascii="Arial" w:hAnsi="Arial"/>
          <w:sz w:val="20"/>
          <w:lang w:val="en-GB"/>
        </w:rPr>
        <w:t xml:space="preserve">unfortunately </w:t>
      </w:r>
      <w:r w:rsidR="001528E4" w:rsidRPr="00C37DDD">
        <w:rPr>
          <w:rFonts w:ascii="Arial" w:hAnsi="Arial"/>
          <w:sz w:val="20"/>
          <w:lang w:val="en-GB"/>
        </w:rPr>
        <w:t xml:space="preserve">not part of this dialogue. </w:t>
      </w:r>
      <w:r w:rsidR="004541A4" w:rsidRPr="00C37DDD">
        <w:rPr>
          <w:rFonts w:ascii="Arial" w:hAnsi="Arial"/>
          <w:sz w:val="20"/>
          <w:lang w:val="en-GB"/>
        </w:rPr>
        <w:t xml:space="preserve">This gap in the dialogue leads to the situation that </w:t>
      </w:r>
      <w:r w:rsidR="00FF6CD9" w:rsidRPr="00C37DDD">
        <w:rPr>
          <w:rFonts w:ascii="Arial" w:hAnsi="Arial"/>
          <w:sz w:val="20"/>
          <w:lang w:val="en-GB"/>
        </w:rPr>
        <w:t xml:space="preserve">alternative sources of finance </w:t>
      </w:r>
      <w:r w:rsidR="005D6A2B" w:rsidRPr="00C37DDD">
        <w:rPr>
          <w:rFonts w:ascii="Arial" w:hAnsi="Arial"/>
          <w:sz w:val="20"/>
          <w:lang w:val="en-GB"/>
        </w:rPr>
        <w:t xml:space="preserve">and DFI guarantees </w:t>
      </w:r>
      <w:r w:rsidR="00FF6CD9" w:rsidRPr="00C37DDD">
        <w:rPr>
          <w:rFonts w:ascii="Arial" w:hAnsi="Arial"/>
          <w:sz w:val="20"/>
          <w:lang w:val="en-GB"/>
        </w:rPr>
        <w:t xml:space="preserve">are overlooked and that </w:t>
      </w:r>
      <w:r w:rsidR="004541A4" w:rsidRPr="00C37DDD">
        <w:rPr>
          <w:rFonts w:ascii="Arial" w:hAnsi="Arial"/>
          <w:sz w:val="20"/>
          <w:lang w:val="en-GB"/>
        </w:rPr>
        <w:t xml:space="preserve">scarce development finance is sometimes “crowding out” market based finance. This is obviously not in the interest of aid efficiency and aid effectiveness. </w:t>
      </w:r>
    </w:p>
    <w:p w:rsidR="00C37DDD" w:rsidRDefault="00C37DDD" w:rsidP="002D1CE5">
      <w:pPr>
        <w:rPr>
          <w:rFonts w:ascii="Arial" w:hAnsi="Arial"/>
          <w:sz w:val="20"/>
          <w:lang w:val="en-GB"/>
        </w:rPr>
      </w:pPr>
    </w:p>
    <w:p w:rsidR="002D1CE5" w:rsidRPr="00C37DDD" w:rsidRDefault="004541A4" w:rsidP="002D1CE5">
      <w:pPr>
        <w:rPr>
          <w:rFonts w:ascii="Arial" w:hAnsi="Arial"/>
          <w:sz w:val="20"/>
          <w:lang w:val="en-GB"/>
        </w:rPr>
      </w:pPr>
      <w:r w:rsidRPr="00C37DDD">
        <w:rPr>
          <w:rFonts w:ascii="Arial" w:hAnsi="Arial"/>
          <w:sz w:val="20"/>
          <w:lang w:val="en-GB"/>
        </w:rPr>
        <w:t>In the world of officially supported export credits a so-called commercial viability</w:t>
      </w:r>
      <w:r w:rsidR="002D1CE5" w:rsidRPr="00C37DDD">
        <w:rPr>
          <w:rFonts w:ascii="Arial" w:hAnsi="Arial"/>
          <w:sz w:val="20"/>
          <w:lang w:val="en-GB"/>
        </w:rPr>
        <w:t xml:space="preserve"> </w:t>
      </w:r>
      <w:r w:rsidRPr="00C37DDD">
        <w:rPr>
          <w:rFonts w:ascii="Arial" w:hAnsi="Arial"/>
          <w:sz w:val="20"/>
          <w:lang w:val="en-GB"/>
        </w:rPr>
        <w:t xml:space="preserve">test has been developed to avoid that </w:t>
      </w:r>
      <w:r w:rsidR="002D1CE5" w:rsidRPr="00C37DDD">
        <w:rPr>
          <w:rFonts w:ascii="Arial" w:hAnsi="Arial"/>
          <w:sz w:val="20"/>
          <w:lang w:val="en-GB"/>
        </w:rPr>
        <w:t xml:space="preserve">tied concessional loans </w:t>
      </w:r>
      <w:r w:rsidRPr="00C37DDD">
        <w:rPr>
          <w:rFonts w:ascii="Arial" w:hAnsi="Arial"/>
          <w:sz w:val="20"/>
          <w:lang w:val="en-GB"/>
        </w:rPr>
        <w:t>crowds out commercial finance</w:t>
      </w:r>
      <w:r w:rsidR="00FF6CD9" w:rsidRPr="00C37DDD">
        <w:rPr>
          <w:rStyle w:val="Appelnotedebasdep"/>
          <w:rFonts w:ascii="Arial" w:hAnsi="Arial"/>
          <w:sz w:val="20"/>
          <w:lang w:val="en-GB"/>
        </w:rPr>
        <w:footnoteReference w:id="6"/>
      </w:r>
      <w:r w:rsidRPr="00C37DDD">
        <w:rPr>
          <w:rFonts w:ascii="Arial" w:hAnsi="Arial"/>
          <w:sz w:val="20"/>
          <w:lang w:val="en-GB"/>
        </w:rPr>
        <w:t xml:space="preserve">. It would be in the interest of </w:t>
      </w:r>
      <w:r w:rsidR="0028795C" w:rsidRPr="00C37DDD">
        <w:rPr>
          <w:rFonts w:ascii="Arial" w:hAnsi="Arial"/>
          <w:sz w:val="20"/>
          <w:lang w:val="en-GB"/>
        </w:rPr>
        <w:t xml:space="preserve">the development finance community (DFIs and OECD DAC) </w:t>
      </w:r>
      <w:r w:rsidRPr="00C37DDD">
        <w:rPr>
          <w:rFonts w:ascii="Arial" w:hAnsi="Arial"/>
          <w:sz w:val="20"/>
          <w:lang w:val="en-GB"/>
        </w:rPr>
        <w:t xml:space="preserve">and developing countries to develop </w:t>
      </w:r>
      <w:r w:rsidR="0028795C" w:rsidRPr="00C37DDD">
        <w:rPr>
          <w:rFonts w:ascii="Arial" w:hAnsi="Arial"/>
          <w:sz w:val="20"/>
          <w:lang w:val="en-GB"/>
        </w:rPr>
        <w:t xml:space="preserve">a </w:t>
      </w:r>
      <w:r w:rsidRPr="00C37DDD">
        <w:rPr>
          <w:rFonts w:ascii="Arial" w:hAnsi="Arial"/>
          <w:sz w:val="20"/>
          <w:lang w:val="en-GB"/>
        </w:rPr>
        <w:t>s</w:t>
      </w:r>
      <w:r w:rsidR="0028795C" w:rsidRPr="00C37DDD">
        <w:rPr>
          <w:rFonts w:ascii="Arial" w:hAnsi="Arial"/>
          <w:sz w:val="20"/>
          <w:lang w:val="en-GB"/>
        </w:rPr>
        <w:t>imilar</w:t>
      </w:r>
      <w:r w:rsidRPr="00C37DDD">
        <w:rPr>
          <w:rFonts w:ascii="Arial" w:hAnsi="Arial"/>
          <w:sz w:val="20"/>
          <w:lang w:val="en-GB"/>
        </w:rPr>
        <w:t xml:space="preserve"> commercial viability test for untied aid. In this way it can be avoided that semi-concessional funds are unin</w:t>
      </w:r>
      <w:r w:rsidR="002D1CE5" w:rsidRPr="00C37DDD">
        <w:rPr>
          <w:rFonts w:ascii="Arial" w:hAnsi="Arial"/>
          <w:sz w:val="20"/>
          <w:lang w:val="en-GB"/>
        </w:rPr>
        <w:t>tentionally</w:t>
      </w:r>
      <w:r w:rsidRPr="00C37DDD">
        <w:rPr>
          <w:rFonts w:ascii="Arial" w:hAnsi="Arial"/>
          <w:sz w:val="20"/>
          <w:lang w:val="en-GB"/>
        </w:rPr>
        <w:t xml:space="preserve"> crowding out private capital. </w:t>
      </w:r>
      <w:r w:rsidR="002D1CE5" w:rsidRPr="00C37DDD">
        <w:rPr>
          <w:rFonts w:ascii="Arial" w:hAnsi="Arial"/>
          <w:sz w:val="20"/>
          <w:lang w:val="en-GB"/>
        </w:rPr>
        <w:t xml:space="preserve">Other sources of capital and how they can be tapped should therefore be part of the dialogue with </w:t>
      </w:r>
      <w:r w:rsidR="000A3686" w:rsidRPr="00C37DDD">
        <w:rPr>
          <w:rFonts w:ascii="Arial" w:hAnsi="Arial"/>
          <w:sz w:val="20"/>
          <w:lang w:val="en-GB"/>
        </w:rPr>
        <w:t xml:space="preserve">aid recipient </w:t>
      </w:r>
      <w:r w:rsidR="002D1CE5" w:rsidRPr="00C37DDD">
        <w:rPr>
          <w:rFonts w:ascii="Arial" w:hAnsi="Arial"/>
          <w:sz w:val="20"/>
          <w:lang w:val="en-GB"/>
        </w:rPr>
        <w:t>countries. Given the limited knowledge about alternative (commercial) sources of finance and how guarantees can be used to mobilize the</w:t>
      </w:r>
      <w:r w:rsidR="000A3686" w:rsidRPr="00C37DDD">
        <w:rPr>
          <w:rFonts w:ascii="Arial" w:hAnsi="Arial"/>
          <w:sz w:val="20"/>
          <w:lang w:val="en-GB"/>
        </w:rPr>
        <w:t xml:space="preserve">se sources </w:t>
      </w:r>
      <w:r w:rsidR="002D1CE5" w:rsidRPr="00C37DDD">
        <w:rPr>
          <w:rFonts w:ascii="Arial" w:hAnsi="Arial"/>
          <w:sz w:val="20"/>
          <w:lang w:val="en-GB"/>
        </w:rPr>
        <w:t xml:space="preserve">capacity building is </w:t>
      </w:r>
      <w:r w:rsidR="000A3686" w:rsidRPr="00C37DDD">
        <w:rPr>
          <w:rFonts w:ascii="Arial" w:hAnsi="Arial"/>
          <w:sz w:val="20"/>
          <w:lang w:val="en-GB"/>
        </w:rPr>
        <w:t>also</w:t>
      </w:r>
      <w:r w:rsidR="002D1CE5" w:rsidRPr="00C37DDD">
        <w:rPr>
          <w:rFonts w:ascii="Arial" w:hAnsi="Arial"/>
          <w:sz w:val="20"/>
          <w:lang w:val="en-GB"/>
        </w:rPr>
        <w:t xml:space="preserve"> important.</w:t>
      </w:r>
    </w:p>
    <w:p w:rsidR="002D1CE5" w:rsidRPr="00C37DDD" w:rsidRDefault="002D1CE5" w:rsidP="002D1CE5">
      <w:pPr>
        <w:rPr>
          <w:rFonts w:ascii="Arial" w:hAnsi="Arial"/>
          <w:sz w:val="20"/>
          <w:lang w:val="en-GB"/>
        </w:rPr>
      </w:pPr>
    </w:p>
    <w:p w:rsidR="004541A4" w:rsidRPr="00C37DDD" w:rsidRDefault="004541A4">
      <w:pPr>
        <w:rPr>
          <w:rFonts w:ascii="Arial" w:hAnsi="Arial"/>
          <w:b/>
          <w:i/>
          <w:sz w:val="20"/>
          <w:lang w:val="en-GB"/>
        </w:rPr>
      </w:pPr>
      <w:r w:rsidRPr="00C37DDD">
        <w:rPr>
          <w:rFonts w:ascii="Arial" w:hAnsi="Arial"/>
          <w:b/>
          <w:i/>
          <w:sz w:val="20"/>
          <w:lang w:val="en-GB"/>
        </w:rPr>
        <w:t>Enhance cooperation between DFIs</w:t>
      </w:r>
      <w:r w:rsidR="008070E1" w:rsidRPr="00C37DDD">
        <w:rPr>
          <w:rFonts w:ascii="Arial" w:hAnsi="Arial"/>
          <w:b/>
          <w:i/>
          <w:sz w:val="20"/>
          <w:lang w:val="en-GB"/>
        </w:rPr>
        <w:t>, ECAs</w:t>
      </w:r>
      <w:r w:rsidR="00386A5A" w:rsidRPr="00C37DDD">
        <w:rPr>
          <w:rFonts w:ascii="Arial" w:hAnsi="Arial"/>
          <w:b/>
          <w:i/>
          <w:sz w:val="20"/>
          <w:lang w:val="en-GB"/>
        </w:rPr>
        <w:t xml:space="preserve"> </w:t>
      </w:r>
      <w:r w:rsidR="008070E1" w:rsidRPr="00C37DDD">
        <w:rPr>
          <w:rFonts w:ascii="Arial" w:hAnsi="Arial"/>
          <w:b/>
          <w:i/>
          <w:sz w:val="20"/>
          <w:lang w:val="en-GB"/>
        </w:rPr>
        <w:t xml:space="preserve">and </w:t>
      </w:r>
      <w:r w:rsidR="002D1CE5" w:rsidRPr="00C37DDD">
        <w:rPr>
          <w:rFonts w:ascii="Arial" w:hAnsi="Arial"/>
          <w:b/>
          <w:i/>
          <w:sz w:val="20"/>
          <w:lang w:val="en-GB"/>
        </w:rPr>
        <w:t>PRIs</w:t>
      </w:r>
      <w:r w:rsidR="008070E1" w:rsidRPr="00C37DDD">
        <w:rPr>
          <w:rFonts w:ascii="Arial" w:hAnsi="Arial"/>
          <w:b/>
          <w:i/>
          <w:sz w:val="20"/>
          <w:lang w:val="en-GB"/>
        </w:rPr>
        <w:t>.</w:t>
      </w:r>
    </w:p>
    <w:p w:rsidR="000A3686" w:rsidRPr="00C37DDD" w:rsidRDefault="002D1CE5">
      <w:pPr>
        <w:rPr>
          <w:rFonts w:ascii="Arial" w:hAnsi="Arial"/>
          <w:sz w:val="20"/>
          <w:lang w:val="en-GB"/>
        </w:rPr>
      </w:pPr>
      <w:r w:rsidRPr="00C37DDD">
        <w:rPr>
          <w:rFonts w:ascii="Arial" w:hAnsi="Arial"/>
          <w:sz w:val="20"/>
          <w:lang w:val="en-GB"/>
        </w:rPr>
        <w:t>O</w:t>
      </w:r>
      <w:r w:rsidR="004541A4" w:rsidRPr="00C37DDD">
        <w:rPr>
          <w:rFonts w:ascii="Arial" w:hAnsi="Arial"/>
          <w:sz w:val="20"/>
          <w:lang w:val="en-GB"/>
        </w:rPr>
        <w:t xml:space="preserve">fficial ECAs </w:t>
      </w:r>
      <w:r w:rsidR="008070E1" w:rsidRPr="00C37DDD">
        <w:rPr>
          <w:rFonts w:ascii="Arial" w:hAnsi="Arial"/>
          <w:sz w:val="20"/>
          <w:lang w:val="en-GB"/>
        </w:rPr>
        <w:t>and P</w:t>
      </w:r>
      <w:r w:rsidR="001726EE">
        <w:rPr>
          <w:rFonts w:ascii="Arial" w:hAnsi="Arial"/>
          <w:sz w:val="20"/>
          <w:lang w:val="en-GB"/>
        </w:rPr>
        <w:t>rivate Insurers (PRIs)</w:t>
      </w:r>
      <w:r w:rsidR="008070E1" w:rsidRPr="00C37DDD">
        <w:rPr>
          <w:rFonts w:ascii="Arial" w:hAnsi="Arial"/>
          <w:sz w:val="20"/>
          <w:lang w:val="en-GB"/>
        </w:rPr>
        <w:t xml:space="preserve"> </w:t>
      </w:r>
      <w:r w:rsidR="004541A4" w:rsidRPr="00C37DDD">
        <w:rPr>
          <w:rFonts w:ascii="Arial" w:hAnsi="Arial"/>
          <w:sz w:val="20"/>
          <w:lang w:val="en-GB"/>
        </w:rPr>
        <w:t xml:space="preserve">are an important source of capital for MLT financing of infrastructure in developing countries. The </w:t>
      </w:r>
      <w:r w:rsidR="0028795C" w:rsidRPr="00C37DDD">
        <w:rPr>
          <w:rFonts w:ascii="Arial" w:hAnsi="Arial"/>
          <w:sz w:val="20"/>
          <w:lang w:val="en-GB"/>
        </w:rPr>
        <w:t xml:space="preserve">total </w:t>
      </w:r>
      <w:r w:rsidR="00AF629F">
        <w:rPr>
          <w:rFonts w:ascii="Arial" w:hAnsi="Arial"/>
          <w:sz w:val="20"/>
          <w:lang w:val="en-GB"/>
        </w:rPr>
        <w:t xml:space="preserve">MLT </w:t>
      </w:r>
      <w:r w:rsidR="004541A4" w:rsidRPr="00C37DDD">
        <w:rPr>
          <w:rFonts w:ascii="Arial" w:hAnsi="Arial"/>
          <w:sz w:val="20"/>
          <w:lang w:val="en-GB"/>
        </w:rPr>
        <w:t xml:space="preserve">exposure of all ECAs </w:t>
      </w:r>
      <w:r w:rsidR="008070E1" w:rsidRPr="00C37DDD">
        <w:rPr>
          <w:rFonts w:ascii="Arial" w:hAnsi="Arial"/>
          <w:sz w:val="20"/>
          <w:lang w:val="en-GB"/>
        </w:rPr>
        <w:t xml:space="preserve">+ PRIs </w:t>
      </w:r>
      <w:r w:rsidR="004541A4" w:rsidRPr="00C37DDD">
        <w:rPr>
          <w:rFonts w:ascii="Arial" w:hAnsi="Arial"/>
          <w:sz w:val="20"/>
          <w:lang w:val="en-GB"/>
        </w:rPr>
        <w:t>was in 2014 approximately U$ 936 billion</w:t>
      </w:r>
      <w:r w:rsidR="008070E1" w:rsidRPr="00C37DDD">
        <w:rPr>
          <w:rStyle w:val="Appelnotedebasdep"/>
          <w:rFonts w:ascii="Arial" w:hAnsi="Arial"/>
          <w:sz w:val="20"/>
          <w:lang w:val="en-GB"/>
        </w:rPr>
        <w:footnoteReference w:id="7"/>
      </w:r>
      <w:r w:rsidR="004541A4" w:rsidRPr="00C37DDD">
        <w:rPr>
          <w:rFonts w:ascii="Arial" w:hAnsi="Arial"/>
          <w:sz w:val="20"/>
          <w:lang w:val="en-GB"/>
        </w:rPr>
        <w:t xml:space="preserve">, which is more than 2 times the </w:t>
      </w:r>
      <w:r w:rsidR="00AF629F">
        <w:rPr>
          <w:rFonts w:ascii="Arial" w:hAnsi="Arial"/>
          <w:sz w:val="20"/>
          <w:lang w:val="en-GB"/>
        </w:rPr>
        <w:t xml:space="preserve">U$ 422 billion </w:t>
      </w:r>
      <w:r w:rsidR="004541A4" w:rsidRPr="00C37DDD">
        <w:rPr>
          <w:rFonts w:ascii="Arial" w:hAnsi="Arial"/>
          <w:sz w:val="20"/>
          <w:lang w:val="en-GB"/>
        </w:rPr>
        <w:t xml:space="preserve">exposure of </w:t>
      </w:r>
      <w:r w:rsidR="00AF629F">
        <w:rPr>
          <w:rFonts w:ascii="Arial" w:hAnsi="Arial"/>
          <w:sz w:val="20"/>
          <w:lang w:val="en-GB"/>
        </w:rPr>
        <w:t xml:space="preserve">all </w:t>
      </w:r>
      <w:r w:rsidR="004541A4" w:rsidRPr="00C37DDD">
        <w:rPr>
          <w:rFonts w:ascii="Arial" w:hAnsi="Arial"/>
          <w:sz w:val="20"/>
          <w:lang w:val="en-GB"/>
        </w:rPr>
        <w:t>leading MDBs</w:t>
      </w:r>
      <w:r w:rsidR="008070E1" w:rsidRPr="00C37DDD">
        <w:rPr>
          <w:rStyle w:val="Appelnotedebasdep"/>
          <w:rFonts w:ascii="Arial" w:hAnsi="Arial"/>
          <w:sz w:val="20"/>
          <w:lang w:val="en-GB"/>
        </w:rPr>
        <w:footnoteReference w:id="8"/>
      </w:r>
      <w:r w:rsidR="004541A4" w:rsidRPr="00C37DDD">
        <w:rPr>
          <w:rFonts w:ascii="Arial" w:hAnsi="Arial"/>
          <w:sz w:val="20"/>
          <w:lang w:val="en-GB"/>
        </w:rPr>
        <w:t xml:space="preserve">. </w:t>
      </w:r>
      <w:r w:rsidR="008070E1" w:rsidRPr="00C37DDD">
        <w:rPr>
          <w:rFonts w:ascii="Arial" w:hAnsi="Arial"/>
          <w:sz w:val="20"/>
          <w:lang w:val="en-GB"/>
        </w:rPr>
        <w:t xml:space="preserve">The mandates of ECAs and PRIs are obviously different </w:t>
      </w:r>
      <w:r w:rsidRPr="00C37DDD">
        <w:rPr>
          <w:rFonts w:ascii="Arial" w:hAnsi="Arial"/>
          <w:sz w:val="20"/>
          <w:lang w:val="en-GB"/>
        </w:rPr>
        <w:t>than those of</w:t>
      </w:r>
      <w:r w:rsidR="0028795C" w:rsidRPr="00C37DDD">
        <w:rPr>
          <w:rFonts w:ascii="Arial" w:hAnsi="Arial"/>
          <w:sz w:val="20"/>
          <w:lang w:val="en-GB"/>
        </w:rPr>
        <w:t xml:space="preserve"> MDB</w:t>
      </w:r>
      <w:r w:rsidR="008070E1" w:rsidRPr="00C37DDD">
        <w:rPr>
          <w:rFonts w:ascii="Arial" w:hAnsi="Arial"/>
          <w:sz w:val="20"/>
          <w:lang w:val="en-GB"/>
        </w:rPr>
        <w:t xml:space="preserve">s, but they have an important developmental impact in facilitating imports and investments in developing countries. </w:t>
      </w:r>
      <w:r w:rsidR="00386A5A" w:rsidRPr="00C37DDD">
        <w:rPr>
          <w:rFonts w:ascii="Arial" w:hAnsi="Arial"/>
          <w:sz w:val="20"/>
          <w:lang w:val="en-GB"/>
        </w:rPr>
        <w:t>The development finance community does not</w:t>
      </w:r>
      <w:r w:rsidR="00C37DDD" w:rsidRPr="00C37DDD">
        <w:rPr>
          <w:rFonts w:ascii="Arial" w:hAnsi="Arial"/>
          <w:sz w:val="20"/>
          <w:lang w:val="en-GB"/>
        </w:rPr>
        <w:t xml:space="preserve"> </w:t>
      </w:r>
      <w:r w:rsidR="00386A5A" w:rsidRPr="00C37DDD">
        <w:rPr>
          <w:rFonts w:ascii="Arial" w:hAnsi="Arial"/>
          <w:sz w:val="20"/>
          <w:lang w:val="en-GB"/>
        </w:rPr>
        <w:t>adequately recognize this</w:t>
      </w:r>
      <w:r w:rsidR="000A3686" w:rsidRPr="00C37DDD">
        <w:rPr>
          <w:rStyle w:val="Appelnotedebasdep"/>
          <w:rFonts w:ascii="Arial" w:hAnsi="Arial"/>
          <w:sz w:val="20"/>
          <w:lang w:val="en-GB"/>
        </w:rPr>
        <w:footnoteReference w:id="9"/>
      </w:r>
      <w:r w:rsidR="00CE1D87" w:rsidRPr="00C37DDD">
        <w:rPr>
          <w:rFonts w:ascii="Arial" w:hAnsi="Arial"/>
          <w:sz w:val="20"/>
          <w:lang w:val="en-GB"/>
        </w:rPr>
        <w:t xml:space="preserve"> an</w:t>
      </w:r>
      <w:r w:rsidR="008070E1" w:rsidRPr="00C37DDD">
        <w:rPr>
          <w:rFonts w:ascii="Arial" w:hAnsi="Arial"/>
          <w:sz w:val="20"/>
          <w:lang w:val="en-GB"/>
        </w:rPr>
        <w:t>d</w:t>
      </w:r>
      <w:r w:rsidR="00CE1D87" w:rsidRPr="00C37DDD">
        <w:rPr>
          <w:rFonts w:ascii="Arial" w:hAnsi="Arial"/>
          <w:sz w:val="20"/>
          <w:lang w:val="en-GB"/>
        </w:rPr>
        <w:t xml:space="preserve"> </w:t>
      </w:r>
      <w:r w:rsidR="008070E1" w:rsidRPr="00C37DDD">
        <w:rPr>
          <w:rFonts w:ascii="Arial" w:hAnsi="Arial"/>
          <w:sz w:val="20"/>
          <w:lang w:val="en-GB"/>
        </w:rPr>
        <w:t>opportunities for cooperation are not explore</w:t>
      </w:r>
      <w:r w:rsidR="00CE1D87" w:rsidRPr="00C37DDD">
        <w:rPr>
          <w:rFonts w:ascii="Arial" w:hAnsi="Arial"/>
          <w:sz w:val="20"/>
          <w:lang w:val="en-GB"/>
        </w:rPr>
        <w:t>d</w:t>
      </w:r>
      <w:r w:rsidR="008070E1" w:rsidRPr="00C37DDD">
        <w:rPr>
          <w:rFonts w:ascii="Arial" w:hAnsi="Arial"/>
          <w:sz w:val="20"/>
          <w:lang w:val="en-GB"/>
        </w:rPr>
        <w:t xml:space="preserve"> to the fullest potential.</w:t>
      </w:r>
    </w:p>
    <w:p w:rsidR="00C37DDD" w:rsidRDefault="00C37DDD">
      <w:pPr>
        <w:rPr>
          <w:rFonts w:ascii="Arial" w:hAnsi="Arial"/>
          <w:sz w:val="20"/>
          <w:lang w:val="en-GB"/>
        </w:rPr>
      </w:pPr>
    </w:p>
    <w:p w:rsidR="00DB54C3" w:rsidRPr="00C37DDD" w:rsidRDefault="008070E1">
      <w:pPr>
        <w:rPr>
          <w:rFonts w:ascii="Arial" w:hAnsi="Arial"/>
          <w:sz w:val="20"/>
          <w:lang w:val="en-GB"/>
        </w:rPr>
      </w:pPr>
      <w:r w:rsidRPr="00C37DDD">
        <w:rPr>
          <w:rFonts w:ascii="Arial" w:hAnsi="Arial"/>
          <w:sz w:val="20"/>
          <w:lang w:val="en-GB"/>
        </w:rPr>
        <w:t>Like</w:t>
      </w:r>
      <w:r w:rsidR="0028795C" w:rsidRPr="00C37DDD">
        <w:rPr>
          <w:rFonts w:ascii="Arial" w:hAnsi="Arial"/>
          <w:sz w:val="20"/>
          <w:lang w:val="en-GB"/>
        </w:rPr>
        <w:t xml:space="preserve"> commercial banks MDB</w:t>
      </w:r>
      <w:r w:rsidRPr="00C37DDD">
        <w:rPr>
          <w:rFonts w:ascii="Arial" w:hAnsi="Arial"/>
          <w:sz w:val="20"/>
          <w:lang w:val="en-GB"/>
        </w:rPr>
        <w:t>s could insure part of their loan exposure with ECAs and PRIs or seek reinsurance for their guarantee exposure.</w:t>
      </w:r>
      <w:r w:rsidR="000A3686" w:rsidRPr="00C37DDD">
        <w:rPr>
          <w:rFonts w:ascii="Arial" w:hAnsi="Arial"/>
          <w:sz w:val="20"/>
          <w:lang w:val="en-GB"/>
        </w:rPr>
        <w:t xml:space="preserve"> </w:t>
      </w:r>
      <w:r w:rsidR="00CE1D87" w:rsidRPr="00C37DDD">
        <w:rPr>
          <w:rFonts w:ascii="Arial" w:hAnsi="Arial"/>
          <w:sz w:val="20"/>
          <w:lang w:val="en-GB"/>
        </w:rPr>
        <w:t>A</w:t>
      </w:r>
      <w:r w:rsidRPr="00C37DDD">
        <w:rPr>
          <w:rFonts w:ascii="Arial" w:hAnsi="Arial"/>
          <w:sz w:val="20"/>
          <w:lang w:val="en-GB"/>
        </w:rPr>
        <w:t xml:space="preserve"> </w:t>
      </w:r>
      <w:r w:rsidR="00CE1D87" w:rsidRPr="00C37DDD">
        <w:rPr>
          <w:rFonts w:ascii="Arial" w:hAnsi="Arial"/>
          <w:sz w:val="20"/>
          <w:lang w:val="en-GB"/>
        </w:rPr>
        <w:t>good example</w:t>
      </w:r>
      <w:r w:rsidRPr="00C37DDD">
        <w:rPr>
          <w:rFonts w:ascii="Arial" w:hAnsi="Arial"/>
          <w:sz w:val="20"/>
          <w:lang w:val="en-GB"/>
        </w:rPr>
        <w:t xml:space="preserve"> is MIGA, which reinsures approximately 40% of its gross exposure with ECAs and PRIs. If leading MDBs would follow this practice approximately </w:t>
      </w:r>
      <w:r w:rsidR="00DB54C3" w:rsidRPr="00C37DDD">
        <w:rPr>
          <w:rFonts w:ascii="Arial" w:hAnsi="Arial"/>
          <w:sz w:val="20"/>
          <w:lang w:val="en-GB"/>
        </w:rPr>
        <w:t xml:space="preserve">U$ </w:t>
      </w:r>
      <w:r w:rsidR="00CE1D87" w:rsidRPr="00C37DDD">
        <w:rPr>
          <w:rFonts w:ascii="Arial" w:hAnsi="Arial"/>
          <w:sz w:val="20"/>
          <w:lang w:val="en-GB"/>
        </w:rPr>
        <w:t>169</w:t>
      </w:r>
      <w:r w:rsidRPr="00C37DDD">
        <w:rPr>
          <w:rFonts w:ascii="Arial" w:hAnsi="Arial"/>
          <w:sz w:val="20"/>
          <w:lang w:val="en-GB"/>
        </w:rPr>
        <w:t xml:space="preserve"> billion</w:t>
      </w:r>
      <w:r w:rsidR="00CE1D87" w:rsidRPr="00C37DDD">
        <w:rPr>
          <w:rFonts w:ascii="Arial" w:hAnsi="Arial"/>
          <w:sz w:val="20"/>
          <w:lang w:val="en-GB"/>
        </w:rPr>
        <w:t xml:space="preserve"> of additional finance (40% of U$ 422 billion) </w:t>
      </w:r>
      <w:r w:rsidRPr="00C37DDD">
        <w:rPr>
          <w:rFonts w:ascii="Arial" w:hAnsi="Arial"/>
          <w:sz w:val="20"/>
          <w:lang w:val="en-GB"/>
        </w:rPr>
        <w:t xml:space="preserve">could </w:t>
      </w:r>
      <w:r w:rsidRPr="00C37DDD">
        <w:rPr>
          <w:rFonts w:ascii="Arial" w:hAnsi="Arial"/>
          <w:sz w:val="20"/>
          <w:lang w:val="en-GB"/>
        </w:rPr>
        <w:lastRenderedPageBreak/>
        <w:t>become available for dev</w:t>
      </w:r>
      <w:r w:rsidR="00DB54C3" w:rsidRPr="00C37DDD">
        <w:rPr>
          <w:rFonts w:ascii="Arial" w:hAnsi="Arial"/>
          <w:sz w:val="20"/>
          <w:lang w:val="en-GB"/>
        </w:rPr>
        <w:t>e</w:t>
      </w:r>
      <w:r w:rsidRPr="00C37DDD">
        <w:rPr>
          <w:rFonts w:ascii="Arial" w:hAnsi="Arial"/>
          <w:sz w:val="20"/>
          <w:lang w:val="en-GB"/>
        </w:rPr>
        <w:t>lopment</w:t>
      </w:r>
      <w:r w:rsidR="00CE1D87" w:rsidRPr="00C37DDD">
        <w:rPr>
          <w:rFonts w:ascii="Arial" w:hAnsi="Arial"/>
          <w:sz w:val="20"/>
          <w:lang w:val="en-GB"/>
        </w:rPr>
        <w:t xml:space="preserve">. </w:t>
      </w:r>
      <w:r w:rsidR="00DB54C3" w:rsidRPr="00C37DDD">
        <w:rPr>
          <w:rFonts w:ascii="Arial" w:hAnsi="Arial"/>
          <w:sz w:val="20"/>
          <w:lang w:val="en-GB"/>
        </w:rPr>
        <w:t xml:space="preserve">Important is as well that </w:t>
      </w:r>
      <w:r w:rsidR="0028795C" w:rsidRPr="00C37DDD">
        <w:rPr>
          <w:rFonts w:ascii="Arial" w:hAnsi="Arial"/>
          <w:sz w:val="20"/>
          <w:lang w:val="en-GB"/>
        </w:rPr>
        <w:t>through enhanced cooperation MDB</w:t>
      </w:r>
      <w:r w:rsidR="00DB54C3" w:rsidRPr="00C37DDD">
        <w:rPr>
          <w:rFonts w:ascii="Arial" w:hAnsi="Arial"/>
          <w:sz w:val="20"/>
          <w:lang w:val="en-GB"/>
        </w:rPr>
        <w:t>s could not only mobilize additional funds for their borrowing member countries, but like</w:t>
      </w:r>
      <w:r w:rsidR="00CE1D87" w:rsidRPr="00C37DDD">
        <w:rPr>
          <w:rFonts w:ascii="Arial" w:hAnsi="Arial"/>
          <w:sz w:val="20"/>
          <w:lang w:val="en-GB"/>
        </w:rPr>
        <w:t xml:space="preserve">ly also at terms and conditions </w:t>
      </w:r>
      <w:r w:rsidR="00DB54C3" w:rsidRPr="00C37DDD">
        <w:rPr>
          <w:rFonts w:ascii="Arial" w:hAnsi="Arial"/>
          <w:sz w:val="20"/>
          <w:lang w:val="en-GB"/>
        </w:rPr>
        <w:t xml:space="preserve">that are more </w:t>
      </w:r>
      <w:r w:rsidR="00386A5A" w:rsidRPr="00C37DDD">
        <w:rPr>
          <w:rFonts w:ascii="Arial" w:hAnsi="Arial"/>
          <w:sz w:val="20"/>
          <w:lang w:val="en-GB"/>
        </w:rPr>
        <w:t>favourable</w:t>
      </w:r>
      <w:r w:rsidR="0028795C" w:rsidRPr="00C37DDD">
        <w:rPr>
          <w:rFonts w:ascii="Arial" w:hAnsi="Arial"/>
          <w:sz w:val="20"/>
          <w:lang w:val="en-GB"/>
        </w:rPr>
        <w:t xml:space="preserve"> than what ECAs and PRIs </w:t>
      </w:r>
      <w:r w:rsidR="00DB54C3" w:rsidRPr="00C37DDD">
        <w:rPr>
          <w:rFonts w:ascii="Arial" w:hAnsi="Arial"/>
          <w:sz w:val="20"/>
          <w:lang w:val="en-GB"/>
        </w:rPr>
        <w:t>normally offer</w:t>
      </w:r>
      <w:r w:rsidR="00CE1D87" w:rsidRPr="00C37DDD">
        <w:rPr>
          <w:rFonts w:ascii="Arial" w:hAnsi="Arial"/>
          <w:sz w:val="20"/>
          <w:lang w:val="en-GB"/>
        </w:rPr>
        <w:t xml:space="preserve"> (e.g. longer tenors and lower premiums)</w:t>
      </w:r>
      <w:r w:rsidR="00DB54C3" w:rsidRPr="00C37DDD">
        <w:rPr>
          <w:rFonts w:ascii="Arial" w:hAnsi="Arial"/>
          <w:sz w:val="20"/>
          <w:lang w:val="en-GB"/>
        </w:rPr>
        <w:t xml:space="preserve">. </w:t>
      </w:r>
      <w:r w:rsidR="0028795C" w:rsidRPr="00C37DDD">
        <w:rPr>
          <w:rFonts w:ascii="Arial" w:hAnsi="Arial"/>
          <w:sz w:val="20"/>
          <w:lang w:val="en-GB"/>
        </w:rPr>
        <w:t xml:space="preserve">The preferred creditor status of MDBs warrants for a more </w:t>
      </w:r>
      <w:r w:rsidR="00386A5A" w:rsidRPr="00C37DDD">
        <w:rPr>
          <w:rFonts w:ascii="Arial" w:hAnsi="Arial"/>
          <w:sz w:val="20"/>
          <w:lang w:val="en-GB"/>
        </w:rPr>
        <w:t>favourable</w:t>
      </w:r>
      <w:r w:rsidR="0028795C" w:rsidRPr="00C37DDD">
        <w:rPr>
          <w:rFonts w:ascii="Arial" w:hAnsi="Arial"/>
          <w:sz w:val="20"/>
          <w:lang w:val="en-GB"/>
        </w:rPr>
        <w:t xml:space="preserve"> coverage than for a commercial bank loan. </w:t>
      </w:r>
      <w:r w:rsidR="00DB54C3" w:rsidRPr="00C37DDD">
        <w:rPr>
          <w:rFonts w:ascii="Arial" w:hAnsi="Arial"/>
          <w:sz w:val="20"/>
          <w:lang w:val="en-GB"/>
        </w:rPr>
        <w:t xml:space="preserve">Enhanced cooperation has therefore two </w:t>
      </w:r>
      <w:r w:rsidR="00CE1D87" w:rsidRPr="00C37DDD">
        <w:rPr>
          <w:rFonts w:ascii="Arial" w:hAnsi="Arial"/>
          <w:sz w:val="20"/>
          <w:lang w:val="en-GB"/>
        </w:rPr>
        <w:t xml:space="preserve">important </w:t>
      </w:r>
      <w:r w:rsidR="00DB54C3" w:rsidRPr="00C37DDD">
        <w:rPr>
          <w:rFonts w:ascii="Arial" w:hAnsi="Arial"/>
          <w:sz w:val="20"/>
          <w:lang w:val="en-GB"/>
        </w:rPr>
        <w:t>ben</w:t>
      </w:r>
      <w:r w:rsidR="00CE1D87" w:rsidRPr="00C37DDD">
        <w:rPr>
          <w:rFonts w:ascii="Arial" w:hAnsi="Arial"/>
          <w:sz w:val="20"/>
          <w:lang w:val="en-GB"/>
        </w:rPr>
        <w:t>e</w:t>
      </w:r>
      <w:r w:rsidR="00DB54C3" w:rsidRPr="00C37DDD">
        <w:rPr>
          <w:rFonts w:ascii="Arial" w:hAnsi="Arial"/>
          <w:sz w:val="20"/>
          <w:lang w:val="en-GB"/>
        </w:rPr>
        <w:t>fits namely</w:t>
      </w:r>
      <w:r w:rsidR="005D6A2B" w:rsidRPr="00C37DDD">
        <w:rPr>
          <w:rFonts w:ascii="Arial" w:hAnsi="Arial"/>
          <w:sz w:val="20"/>
          <w:lang w:val="en-GB"/>
        </w:rPr>
        <w:t>:</w:t>
      </w:r>
      <w:r w:rsidR="00DB54C3" w:rsidRPr="00C37DDD">
        <w:rPr>
          <w:rFonts w:ascii="Arial" w:hAnsi="Arial"/>
          <w:sz w:val="20"/>
          <w:lang w:val="en-GB"/>
        </w:rPr>
        <w:t xml:space="preserve"> more capital for infrastructure and at better terms and conditions.</w:t>
      </w:r>
      <w:r w:rsidR="00CE1D87" w:rsidRPr="00C37DDD">
        <w:rPr>
          <w:rFonts w:ascii="Arial" w:hAnsi="Arial"/>
          <w:sz w:val="20"/>
          <w:lang w:val="en-GB"/>
        </w:rPr>
        <w:t xml:space="preserve"> </w:t>
      </w:r>
    </w:p>
    <w:p w:rsidR="00DB54C3" w:rsidRPr="00C37DDD" w:rsidRDefault="00DB54C3">
      <w:pPr>
        <w:rPr>
          <w:rFonts w:ascii="Arial" w:hAnsi="Arial"/>
          <w:sz w:val="20"/>
          <w:lang w:val="en-GB"/>
        </w:rPr>
      </w:pPr>
    </w:p>
    <w:p w:rsidR="00E826A1" w:rsidRPr="00C37DDD" w:rsidRDefault="00E826A1">
      <w:pPr>
        <w:rPr>
          <w:rFonts w:ascii="Arial" w:hAnsi="Arial"/>
          <w:b/>
          <w:i/>
          <w:sz w:val="20"/>
          <w:lang w:val="en-GB"/>
        </w:rPr>
      </w:pPr>
      <w:r w:rsidRPr="00C37DDD">
        <w:rPr>
          <w:rFonts w:ascii="Arial" w:hAnsi="Arial"/>
          <w:b/>
          <w:i/>
          <w:sz w:val="20"/>
          <w:lang w:val="en-GB"/>
        </w:rPr>
        <w:t>Mobilization of private capital is more than only PPP.</w:t>
      </w:r>
    </w:p>
    <w:p w:rsidR="00C37DDD" w:rsidRDefault="00E826A1">
      <w:pPr>
        <w:rPr>
          <w:rFonts w:ascii="Arial" w:hAnsi="Arial"/>
          <w:sz w:val="20"/>
          <w:lang w:val="en-GB"/>
        </w:rPr>
      </w:pPr>
      <w:r w:rsidRPr="00C37DDD">
        <w:rPr>
          <w:rFonts w:ascii="Arial" w:hAnsi="Arial"/>
          <w:sz w:val="20"/>
          <w:lang w:val="en-GB"/>
        </w:rPr>
        <w:t xml:space="preserve">There is tendency </w:t>
      </w:r>
      <w:r w:rsidR="005D6A2B" w:rsidRPr="00C37DDD">
        <w:rPr>
          <w:rFonts w:ascii="Arial" w:hAnsi="Arial"/>
          <w:sz w:val="20"/>
          <w:lang w:val="en-GB"/>
        </w:rPr>
        <w:t>within</w:t>
      </w:r>
      <w:r w:rsidRPr="00C37DDD">
        <w:rPr>
          <w:rFonts w:ascii="Arial" w:hAnsi="Arial"/>
          <w:sz w:val="20"/>
          <w:lang w:val="en-GB"/>
        </w:rPr>
        <w:t xml:space="preserve"> </w:t>
      </w:r>
      <w:r w:rsidR="00E5375F">
        <w:rPr>
          <w:rFonts w:ascii="Arial" w:hAnsi="Arial"/>
          <w:sz w:val="20"/>
          <w:lang w:val="en-GB"/>
        </w:rPr>
        <w:t>the DFI</w:t>
      </w:r>
      <w:r w:rsidR="00C917F0" w:rsidRPr="00C37DDD">
        <w:rPr>
          <w:rFonts w:ascii="Arial" w:hAnsi="Arial"/>
          <w:sz w:val="20"/>
          <w:lang w:val="en-GB"/>
        </w:rPr>
        <w:t xml:space="preserve"> community </w:t>
      </w:r>
      <w:r w:rsidRPr="00C37DDD">
        <w:rPr>
          <w:rFonts w:ascii="Arial" w:hAnsi="Arial"/>
          <w:sz w:val="20"/>
          <w:lang w:val="en-GB"/>
        </w:rPr>
        <w:t xml:space="preserve">to narrow the discussions on the mobilization of private capital to the development of public private partnerships (PPPs), i.e. projects that have the potential to generate </w:t>
      </w:r>
      <w:r w:rsidR="00C917F0" w:rsidRPr="00C37DDD">
        <w:rPr>
          <w:rFonts w:ascii="Arial" w:hAnsi="Arial"/>
          <w:sz w:val="20"/>
          <w:lang w:val="en-GB"/>
        </w:rPr>
        <w:t>sufficient income</w:t>
      </w:r>
      <w:r w:rsidRPr="00C37DDD">
        <w:rPr>
          <w:rFonts w:ascii="Arial" w:hAnsi="Arial"/>
          <w:sz w:val="20"/>
          <w:lang w:val="en-GB"/>
        </w:rPr>
        <w:t xml:space="preserve"> that can be used to repay </w:t>
      </w:r>
      <w:r w:rsidR="00C917F0" w:rsidRPr="00C37DDD">
        <w:rPr>
          <w:rFonts w:ascii="Arial" w:hAnsi="Arial"/>
          <w:sz w:val="20"/>
          <w:lang w:val="en-GB"/>
        </w:rPr>
        <w:t xml:space="preserve">commercial </w:t>
      </w:r>
      <w:r w:rsidR="005D6A2B" w:rsidRPr="00C37DDD">
        <w:rPr>
          <w:rFonts w:ascii="Arial" w:hAnsi="Arial"/>
          <w:sz w:val="20"/>
          <w:lang w:val="en-GB"/>
        </w:rPr>
        <w:t>debt financing</w:t>
      </w:r>
      <w:r w:rsidR="00C917F0" w:rsidRPr="00C37DDD">
        <w:rPr>
          <w:rFonts w:ascii="Arial" w:hAnsi="Arial"/>
          <w:sz w:val="20"/>
          <w:lang w:val="en-GB"/>
        </w:rPr>
        <w:t xml:space="preserve"> and pay dividend to equity investors.</w:t>
      </w:r>
      <w:r w:rsidRPr="00C37DDD">
        <w:rPr>
          <w:rFonts w:ascii="Arial" w:hAnsi="Arial"/>
          <w:sz w:val="20"/>
          <w:lang w:val="en-GB"/>
        </w:rPr>
        <w:t xml:space="preserve"> The focus </w:t>
      </w:r>
      <w:r w:rsidR="00C917F0" w:rsidRPr="00C37DDD">
        <w:rPr>
          <w:rFonts w:ascii="Arial" w:hAnsi="Arial"/>
          <w:sz w:val="20"/>
          <w:lang w:val="en-GB"/>
        </w:rPr>
        <w:t xml:space="preserve">of the discussion </w:t>
      </w:r>
      <w:r w:rsidRPr="00C37DDD">
        <w:rPr>
          <w:rFonts w:ascii="Arial" w:hAnsi="Arial"/>
          <w:sz w:val="20"/>
          <w:lang w:val="en-GB"/>
        </w:rPr>
        <w:t xml:space="preserve">is </w:t>
      </w:r>
      <w:r w:rsidR="00C917F0" w:rsidRPr="00C37DDD">
        <w:rPr>
          <w:rFonts w:ascii="Arial" w:hAnsi="Arial"/>
          <w:sz w:val="20"/>
          <w:lang w:val="en-GB"/>
        </w:rPr>
        <w:t xml:space="preserve">therefore </w:t>
      </w:r>
      <w:r w:rsidRPr="00C37DDD">
        <w:rPr>
          <w:rFonts w:ascii="Arial" w:hAnsi="Arial"/>
          <w:sz w:val="20"/>
          <w:lang w:val="en-GB"/>
        </w:rPr>
        <w:t xml:space="preserve">on how to involve the private sector as investor / sponsor in infrastructure projects. </w:t>
      </w:r>
      <w:r w:rsidR="00C917F0" w:rsidRPr="00C37DDD">
        <w:rPr>
          <w:rFonts w:ascii="Arial" w:hAnsi="Arial"/>
          <w:sz w:val="20"/>
          <w:lang w:val="en-GB"/>
        </w:rPr>
        <w:t xml:space="preserve">This is in fact a discussion about privatization, which is only part of the mobilization agenda. </w:t>
      </w:r>
    </w:p>
    <w:p w:rsidR="005D6A2B" w:rsidRPr="00C37DDD" w:rsidRDefault="00C917F0">
      <w:pPr>
        <w:rPr>
          <w:rFonts w:ascii="Arial" w:hAnsi="Arial"/>
          <w:sz w:val="20"/>
          <w:lang w:val="en-GB"/>
        </w:rPr>
      </w:pPr>
      <w:r w:rsidRPr="00C37DDD">
        <w:rPr>
          <w:rFonts w:ascii="Arial" w:hAnsi="Arial"/>
          <w:sz w:val="20"/>
          <w:lang w:val="en-GB"/>
        </w:rPr>
        <w:t>The</w:t>
      </w:r>
      <w:r w:rsidR="00E826A1" w:rsidRPr="00C37DDD">
        <w:rPr>
          <w:rFonts w:ascii="Arial" w:hAnsi="Arial"/>
          <w:sz w:val="20"/>
          <w:lang w:val="en-GB"/>
        </w:rPr>
        <w:t xml:space="preserve"> too narrow approach ignores two things, namely </w:t>
      </w:r>
      <w:r w:rsidRPr="00C37DDD">
        <w:rPr>
          <w:rFonts w:ascii="Arial" w:hAnsi="Arial"/>
          <w:sz w:val="20"/>
          <w:lang w:val="en-GB"/>
        </w:rPr>
        <w:t xml:space="preserve">(1) </w:t>
      </w:r>
      <w:r w:rsidR="00E826A1" w:rsidRPr="00C37DDD">
        <w:rPr>
          <w:rFonts w:ascii="Arial" w:hAnsi="Arial"/>
          <w:sz w:val="20"/>
          <w:lang w:val="en-GB"/>
        </w:rPr>
        <w:t xml:space="preserve">that many infrastructure projects </w:t>
      </w:r>
      <w:proofErr w:type="spellStart"/>
      <w:r w:rsidR="00E826A1" w:rsidRPr="00C37DDD">
        <w:rPr>
          <w:rFonts w:ascii="Arial" w:hAnsi="Arial"/>
          <w:sz w:val="20"/>
          <w:lang w:val="en-GB"/>
        </w:rPr>
        <w:t>can not</w:t>
      </w:r>
      <w:proofErr w:type="spellEnd"/>
      <w:r w:rsidR="00E826A1" w:rsidRPr="00C37DDD">
        <w:rPr>
          <w:rFonts w:ascii="Arial" w:hAnsi="Arial"/>
          <w:sz w:val="20"/>
          <w:lang w:val="en-GB"/>
        </w:rPr>
        <w:t xml:space="preserve"> be financed on a project fina</w:t>
      </w:r>
      <w:r w:rsidRPr="00C37DDD">
        <w:rPr>
          <w:rFonts w:ascii="Arial" w:hAnsi="Arial"/>
          <w:sz w:val="20"/>
          <w:lang w:val="en-GB"/>
        </w:rPr>
        <w:t>n</w:t>
      </w:r>
      <w:r w:rsidR="00E826A1" w:rsidRPr="00C37DDD">
        <w:rPr>
          <w:rFonts w:ascii="Arial" w:hAnsi="Arial"/>
          <w:sz w:val="20"/>
          <w:lang w:val="en-GB"/>
        </w:rPr>
        <w:t>ce basis, because the projects do not generate sufficient cash flow</w:t>
      </w:r>
      <w:r w:rsidRPr="00C37DDD">
        <w:rPr>
          <w:rFonts w:ascii="Arial" w:hAnsi="Arial"/>
          <w:sz w:val="20"/>
          <w:lang w:val="en-GB"/>
        </w:rPr>
        <w:t xml:space="preserve"> and (2) that private capital can not only be mobilized for </w:t>
      </w:r>
      <w:r w:rsidR="0028795C" w:rsidRPr="00C37DDD">
        <w:rPr>
          <w:rFonts w:ascii="Arial" w:hAnsi="Arial"/>
          <w:sz w:val="20"/>
          <w:lang w:val="en-GB"/>
        </w:rPr>
        <w:t xml:space="preserve">private sector sponsored </w:t>
      </w:r>
      <w:r w:rsidRPr="00C37DDD">
        <w:rPr>
          <w:rFonts w:ascii="Arial" w:hAnsi="Arial"/>
          <w:sz w:val="20"/>
          <w:lang w:val="en-GB"/>
        </w:rPr>
        <w:t>PPP projects</w:t>
      </w:r>
      <w:r w:rsidR="005D6A2B" w:rsidRPr="00C37DDD">
        <w:rPr>
          <w:rFonts w:ascii="Arial" w:hAnsi="Arial"/>
          <w:sz w:val="20"/>
          <w:lang w:val="en-GB"/>
        </w:rPr>
        <w:t>,</w:t>
      </w:r>
      <w:r w:rsidRPr="00C37DDD">
        <w:rPr>
          <w:rFonts w:ascii="Arial" w:hAnsi="Arial"/>
          <w:sz w:val="20"/>
          <w:lang w:val="en-GB"/>
        </w:rPr>
        <w:t xml:space="preserve"> but also for typical public sector projects, whereby the government (sovereign) or a sub sovereign entity acts as borrower or guarantor.  </w:t>
      </w:r>
      <w:r w:rsidR="00E826A1" w:rsidRPr="00C37DDD">
        <w:rPr>
          <w:rFonts w:ascii="Arial" w:hAnsi="Arial"/>
          <w:sz w:val="20"/>
          <w:lang w:val="en-GB"/>
        </w:rPr>
        <w:t xml:space="preserve">This is for example </w:t>
      </w:r>
      <w:r w:rsidR="005D6A2B" w:rsidRPr="00C37DDD">
        <w:rPr>
          <w:rFonts w:ascii="Arial" w:hAnsi="Arial"/>
          <w:sz w:val="20"/>
          <w:lang w:val="en-GB"/>
        </w:rPr>
        <w:t>relevant for</w:t>
      </w:r>
      <w:r w:rsidR="00E826A1" w:rsidRPr="00C37DDD">
        <w:rPr>
          <w:rFonts w:ascii="Arial" w:hAnsi="Arial"/>
          <w:sz w:val="20"/>
          <w:lang w:val="en-GB"/>
        </w:rPr>
        <w:t xml:space="preserve"> many transport</w:t>
      </w:r>
      <w:r w:rsidRPr="00C37DDD">
        <w:rPr>
          <w:rFonts w:ascii="Arial" w:hAnsi="Arial"/>
          <w:sz w:val="20"/>
          <w:lang w:val="en-GB"/>
        </w:rPr>
        <w:t xml:space="preserve"> </w:t>
      </w:r>
      <w:r w:rsidR="005D6A2B" w:rsidRPr="00C37DDD">
        <w:rPr>
          <w:rFonts w:ascii="Arial" w:hAnsi="Arial"/>
          <w:sz w:val="20"/>
          <w:lang w:val="en-GB"/>
        </w:rPr>
        <w:t xml:space="preserve">and water </w:t>
      </w:r>
      <w:r w:rsidRPr="00C37DDD">
        <w:rPr>
          <w:rFonts w:ascii="Arial" w:hAnsi="Arial"/>
          <w:sz w:val="20"/>
          <w:lang w:val="en-GB"/>
        </w:rPr>
        <w:t>projects. M</w:t>
      </w:r>
      <w:r w:rsidR="00271E3F" w:rsidRPr="00C37DDD">
        <w:rPr>
          <w:rFonts w:ascii="Arial" w:hAnsi="Arial"/>
          <w:sz w:val="20"/>
          <w:lang w:val="en-GB"/>
        </w:rPr>
        <w:t>ost ro</w:t>
      </w:r>
      <w:r w:rsidRPr="00C37DDD">
        <w:rPr>
          <w:rFonts w:ascii="Arial" w:hAnsi="Arial"/>
          <w:sz w:val="20"/>
          <w:lang w:val="en-GB"/>
        </w:rPr>
        <w:t>ads, railways, regional airp</w:t>
      </w:r>
      <w:r w:rsidR="005D6A2B" w:rsidRPr="00C37DDD">
        <w:rPr>
          <w:rFonts w:ascii="Arial" w:hAnsi="Arial"/>
          <w:sz w:val="20"/>
          <w:lang w:val="en-GB"/>
        </w:rPr>
        <w:t xml:space="preserve">orts, </w:t>
      </w:r>
      <w:r w:rsidR="00386A5A" w:rsidRPr="00C37DDD">
        <w:rPr>
          <w:rFonts w:ascii="Arial" w:hAnsi="Arial"/>
          <w:sz w:val="20"/>
          <w:lang w:val="en-GB"/>
        </w:rPr>
        <w:t>harbours</w:t>
      </w:r>
      <w:r w:rsidRPr="00C37DDD">
        <w:rPr>
          <w:rFonts w:ascii="Arial" w:hAnsi="Arial"/>
          <w:sz w:val="20"/>
          <w:lang w:val="en-GB"/>
        </w:rPr>
        <w:t xml:space="preserve"> </w:t>
      </w:r>
      <w:r w:rsidR="005D6A2B" w:rsidRPr="00C37DDD">
        <w:rPr>
          <w:rFonts w:ascii="Arial" w:hAnsi="Arial"/>
          <w:sz w:val="20"/>
          <w:lang w:val="en-GB"/>
        </w:rPr>
        <w:t xml:space="preserve">and water sanitation projects </w:t>
      </w:r>
      <w:r w:rsidR="00E826A1" w:rsidRPr="00C37DDD">
        <w:rPr>
          <w:rFonts w:ascii="Arial" w:hAnsi="Arial"/>
          <w:sz w:val="20"/>
          <w:lang w:val="en-GB"/>
        </w:rPr>
        <w:t xml:space="preserve">are </w:t>
      </w:r>
      <w:r w:rsidRPr="00C37DDD">
        <w:rPr>
          <w:rFonts w:ascii="Arial" w:hAnsi="Arial"/>
          <w:sz w:val="20"/>
          <w:lang w:val="en-GB"/>
        </w:rPr>
        <w:t xml:space="preserve">and will remain </w:t>
      </w:r>
      <w:r w:rsidR="005D6A2B" w:rsidRPr="00C37DDD">
        <w:rPr>
          <w:rFonts w:ascii="Arial" w:hAnsi="Arial"/>
          <w:sz w:val="20"/>
          <w:lang w:val="en-GB"/>
        </w:rPr>
        <w:t xml:space="preserve">typical public sector projects in </w:t>
      </w:r>
      <w:r w:rsidR="00E826A1" w:rsidRPr="00C37DDD">
        <w:rPr>
          <w:rFonts w:ascii="Arial" w:hAnsi="Arial"/>
          <w:sz w:val="20"/>
          <w:lang w:val="en-GB"/>
        </w:rPr>
        <w:t>m</w:t>
      </w:r>
      <w:r w:rsidRPr="00C37DDD">
        <w:rPr>
          <w:rFonts w:ascii="Arial" w:hAnsi="Arial"/>
          <w:sz w:val="20"/>
          <w:lang w:val="en-GB"/>
        </w:rPr>
        <w:t>any developing countries</w:t>
      </w:r>
      <w:r w:rsidR="005D6A2B" w:rsidRPr="00C37DDD">
        <w:rPr>
          <w:rFonts w:ascii="Arial" w:hAnsi="Arial"/>
          <w:sz w:val="20"/>
          <w:lang w:val="en-GB"/>
        </w:rPr>
        <w:t xml:space="preserve">. This should not come as a surprise, because this is also the case for </w:t>
      </w:r>
      <w:r w:rsidR="00C37DDD">
        <w:rPr>
          <w:rFonts w:ascii="Arial" w:hAnsi="Arial"/>
          <w:sz w:val="20"/>
          <w:lang w:val="en-GB"/>
        </w:rPr>
        <w:t xml:space="preserve">most </w:t>
      </w:r>
      <w:r w:rsidR="005D6A2B" w:rsidRPr="00C37DDD">
        <w:rPr>
          <w:rFonts w:ascii="Arial" w:hAnsi="Arial"/>
          <w:sz w:val="20"/>
          <w:lang w:val="en-GB"/>
        </w:rPr>
        <w:t xml:space="preserve">so-called developed countries. </w:t>
      </w:r>
    </w:p>
    <w:p w:rsidR="00C37DDD" w:rsidRDefault="00C37DDD">
      <w:pPr>
        <w:rPr>
          <w:rFonts w:ascii="Arial" w:hAnsi="Arial"/>
          <w:sz w:val="20"/>
          <w:lang w:val="en-GB"/>
        </w:rPr>
      </w:pPr>
    </w:p>
    <w:p w:rsidR="00EE6978" w:rsidRPr="00C37DDD" w:rsidRDefault="00CE1D87">
      <w:pPr>
        <w:rPr>
          <w:rFonts w:ascii="Arial" w:hAnsi="Arial"/>
          <w:sz w:val="20"/>
          <w:lang w:val="en-GB"/>
        </w:rPr>
      </w:pPr>
      <w:r w:rsidRPr="00C37DDD">
        <w:rPr>
          <w:rFonts w:ascii="Arial" w:hAnsi="Arial"/>
          <w:sz w:val="20"/>
          <w:lang w:val="en-GB"/>
        </w:rPr>
        <w:t xml:space="preserve">The </w:t>
      </w:r>
      <w:proofErr w:type="gramStart"/>
      <w:r w:rsidRPr="00C37DDD">
        <w:rPr>
          <w:rFonts w:ascii="Arial" w:hAnsi="Arial"/>
          <w:sz w:val="20"/>
          <w:lang w:val="en-GB"/>
        </w:rPr>
        <w:t>opportunities for the mobilization of private capital for public sector projects is</w:t>
      </w:r>
      <w:proofErr w:type="gramEnd"/>
      <w:r w:rsidRPr="00C37DDD">
        <w:rPr>
          <w:rFonts w:ascii="Arial" w:hAnsi="Arial"/>
          <w:sz w:val="20"/>
          <w:lang w:val="en-GB"/>
        </w:rPr>
        <w:t xml:space="preserve"> substantial. Many governments in developing countries have good or reasonable access to the private market and can obtain support from ECAs and PRIs for MLT financing for public sector </w:t>
      </w:r>
      <w:r w:rsidR="00EE6978" w:rsidRPr="00C37DDD">
        <w:rPr>
          <w:rFonts w:ascii="Arial" w:hAnsi="Arial"/>
          <w:sz w:val="20"/>
          <w:lang w:val="en-GB"/>
        </w:rPr>
        <w:t xml:space="preserve">projects. It </w:t>
      </w:r>
      <w:r w:rsidR="000B30DC" w:rsidRPr="00C37DDD">
        <w:rPr>
          <w:rFonts w:ascii="Arial" w:hAnsi="Arial"/>
          <w:sz w:val="20"/>
          <w:lang w:val="en-GB"/>
        </w:rPr>
        <w:t xml:space="preserve">is noteworthy that many top </w:t>
      </w:r>
      <w:r w:rsidR="00EE6978" w:rsidRPr="00C37DDD">
        <w:rPr>
          <w:rFonts w:ascii="Arial" w:hAnsi="Arial"/>
          <w:sz w:val="20"/>
          <w:lang w:val="en-GB"/>
        </w:rPr>
        <w:t>exposure countries of the DFI community (e.g. China, India, Indonesia, Mexico, Brazil, Turkey</w:t>
      </w:r>
      <w:r w:rsidR="000B30DC" w:rsidRPr="00C37DDD">
        <w:rPr>
          <w:rFonts w:ascii="Arial" w:hAnsi="Arial"/>
          <w:sz w:val="20"/>
          <w:lang w:val="en-GB"/>
        </w:rPr>
        <w:t xml:space="preserve">, </w:t>
      </w:r>
      <w:proofErr w:type="gramStart"/>
      <w:r w:rsidR="000B30DC" w:rsidRPr="00C37DDD">
        <w:rPr>
          <w:rFonts w:ascii="Arial" w:hAnsi="Arial"/>
          <w:sz w:val="20"/>
          <w:lang w:val="en-GB"/>
        </w:rPr>
        <w:t>Viet</w:t>
      </w:r>
      <w:proofErr w:type="gramEnd"/>
      <w:r w:rsidR="000B30DC" w:rsidRPr="00C37DDD">
        <w:rPr>
          <w:rFonts w:ascii="Arial" w:hAnsi="Arial"/>
          <w:sz w:val="20"/>
          <w:lang w:val="en-GB"/>
        </w:rPr>
        <w:t xml:space="preserve"> Nam) are also important bene</w:t>
      </w:r>
      <w:r w:rsidR="00EE6978" w:rsidRPr="00C37DDD">
        <w:rPr>
          <w:rFonts w:ascii="Arial" w:hAnsi="Arial"/>
          <w:sz w:val="20"/>
          <w:lang w:val="en-GB"/>
        </w:rPr>
        <w:t xml:space="preserve">ficiaries of ECA / PRI supported </w:t>
      </w:r>
      <w:r w:rsidR="000B30DC" w:rsidRPr="00C37DDD">
        <w:rPr>
          <w:rFonts w:ascii="Arial" w:hAnsi="Arial"/>
          <w:sz w:val="20"/>
          <w:lang w:val="en-GB"/>
        </w:rPr>
        <w:t xml:space="preserve">commercial bank </w:t>
      </w:r>
      <w:r w:rsidR="00EE6978" w:rsidRPr="00C37DDD">
        <w:rPr>
          <w:rFonts w:ascii="Arial" w:hAnsi="Arial"/>
          <w:sz w:val="20"/>
          <w:lang w:val="en-GB"/>
        </w:rPr>
        <w:t>financing.</w:t>
      </w:r>
      <w:r w:rsidR="000B30DC" w:rsidRPr="00C37DDD">
        <w:rPr>
          <w:rFonts w:ascii="Arial" w:hAnsi="Arial"/>
          <w:sz w:val="20"/>
          <w:lang w:val="en-GB"/>
        </w:rPr>
        <w:t xml:space="preserve"> </w:t>
      </w:r>
      <w:r w:rsidR="00271E3F" w:rsidRPr="00C37DDD">
        <w:rPr>
          <w:rFonts w:ascii="Arial" w:hAnsi="Arial"/>
          <w:sz w:val="20"/>
          <w:lang w:val="en-GB"/>
        </w:rPr>
        <w:t xml:space="preserve">The impressive overlap of exposures of DFIs and ECAs on many countries show at the same time there are huge opportunities for enhanced cooperation. </w:t>
      </w:r>
      <w:r w:rsidR="00E5375F">
        <w:rPr>
          <w:rFonts w:ascii="Arial" w:hAnsi="Arial"/>
          <w:sz w:val="20"/>
          <w:lang w:val="en-GB"/>
        </w:rPr>
        <w:t>These opportunities should be explored and utilized.</w:t>
      </w:r>
    </w:p>
    <w:p w:rsidR="00EE6978" w:rsidRPr="00C37DDD" w:rsidRDefault="00EE6978">
      <w:pPr>
        <w:rPr>
          <w:rFonts w:ascii="Arial" w:hAnsi="Arial"/>
          <w:sz w:val="20"/>
          <w:lang w:val="en-GB"/>
        </w:rPr>
      </w:pPr>
    </w:p>
    <w:p w:rsidR="00EE6978" w:rsidRPr="00C37DDD" w:rsidRDefault="00EE6978">
      <w:pPr>
        <w:rPr>
          <w:rFonts w:ascii="Arial" w:hAnsi="Arial"/>
          <w:b/>
          <w:i/>
          <w:sz w:val="20"/>
          <w:lang w:val="en-GB"/>
        </w:rPr>
      </w:pPr>
      <w:proofErr w:type="gramStart"/>
      <w:r w:rsidRPr="00C37DDD">
        <w:rPr>
          <w:rFonts w:ascii="Arial" w:hAnsi="Arial"/>
          <w:b/>
          <w:i/>
          <w:sz w:val="20"/>
          <w:lang w:val="en-GB"/>
        </w:rPr>
        <w:t xml:space="preserve">Blending </w:t>
      </w:r>
      <w:r w:rsidR="00513F63" w:rsidRPr="00C37DDD">
        <w:rPr>
          <w:rFonts w:ascii="Arial" w:hAnsi="Arial"/>
          <w:b/>
          <w:i/>
          <w:sz w:val="20"/>
          <w:lang w:val="en-GB"/>
        </w:rPr>
        <w:t>for IMF /WB debt sustainability countries.</w:t>
      </w:r>
      <w:proofErr w:type="gramEnd"/>
    </w:p>
    <w:p w:rsidR="00C37DDD" w:rsidRDefault="00EE6978">
      <w:pPr>
        <w:rPr>
          <w:rFonts w:ascii="Arial" w:hAnsi="Arial"/>
          <w:sz w:val="20"/>
          <w:lang w:val="en-GB"/>
        </w:rPr>
      </w:pPr>
      <w:r w:rsidRPr="00C37DDD">
        <w:rPr>
          <w:rFonts w:ascii="Arial" w:hAnsi="Arial"/>
          <w:sz w:val="20"/>
          <w:lang w:val="en-GB"/>
        </w:rPr>
        <w:t xml:space="preserve">Blending can be defined as the utilization of grant money (e.g. from DFIs or private </w:t>
      </w:r>
      <w:r w:rsidR="00386A5A" w:rsidRPr="00C37DDD">
        <w:rPr>
          <w:rFonts w:ascii="Arial" w:hAnsi="Arial"/>
          <w:sz w:val="20"/>
          <w:lang w:val="en-GB"/>
        </w:rPr>
        <w:t>philanthropic</w:t>
      </w:r>
      <w:r w:rsidRPr="00C37DDD">
        <w:rPr>
          <w:rFonts w:ascii="Arial" w:hAnsi="Arial"/>
          <w:sz w:val="20"/>
          <w:lang w:val="en-GB"/>
        </w:rPr>
        <w:t xml:space="preserve"> funds) to mobilize private capital. It can take many different for</w:t>
      </w:r>
      <w:r w:rsidR="00513F63" w:rsidRPr="00C37DDD">
        <w:rPr>
          <w:rFonts w:ascii="Arial" w:hAnsi="Arial"/>
          <w:sz w:val="20"/>
          <w:lang w:val="en-GB"/>
        </w:rPr>
        <w:t>ms, such as</w:t>
      </w:r>
      <w:r w:rsidRPr="00C37DDD">
        <w:rPr>
          <w:rFonts w:ascii="Arial" w:hAnsi="Arial"/>
          <w:sz w:val="20"/>
          <w:lang w:val="en-GB"/>
        </w:rPr>
        <w:t xml:space="preserve"> subsidies to lower interest rates or improve returns on investment risks. Within </w:t>
      </w:r>
      <w:r w:rsidR="00513F63" w:rsidRPr="00C37DDD">
        <w:rPr>
          <w:rFonts w:ascii="Arial" w:hAnsi="Arial"/>
          <w:sz w:val="20"/>
          <w:lang w:val="en-GB"/>
        </w:rPr>
        <w:t xml:space="preserve">the </w:t>
      </w:r>
      <w:r w:rsidRPr="00C37DDD">
        <w:rPr>
          <w:rFonts w:ascii="Arial" w:hAnsi="Arial"/>
          <w:sz w:val="20"/>
          <w:lang w:val="en-GB"/>
        </w:rPr>
        <w:t>EU vari</w:t>
      </w:r>
      <w:r w:rsidR="000B30DC" w:rsidRPr="00C37DDD">
        <w:rPr>
          <w:rFonts w:ascii="Arial" w:hAnsi="Arial"/>
          <w:sz w:val="20"/>
          <w:lang w:val="en-GB"/>
        </w:rPr>
        <w:t>ous blending instruments exist</w:t>
      </w:r>
      <w:r w:rsidR="00513F63" w:rsidRPr="00C37DDD">
        <w:rPr>
          <w:rFonts w:ascii="Arial" w:hAnsi="Arial"/>
          <w:sz w:val="20"/>
          <w:lang w:val="en-GB"/>
        </w:rPr>
        <w:t>. The fact</w:t>
      </w:r>
      <w:r w:rsidRPr="00C37DDD">
        <w:rPr>
          <w:rFonts w:ascii="Arial" w:hAnsi="Arial"/>
          <w:sz w:val="20"/>
          <w:lang w:val="en-GB"/>
        </w:rPr>
        <w:t xml:space="preserve"> is </w:t>
      </w:r>
      <w:r w:rsidR="00513F63" w:rsidRPr="00C37DDD">
        <w:rPr>
          <w:rFonts w:ascii="Arial" w:hAnsi="Arial"/>
          <w:sz w:val="20"/>
          <w:lang w:val="en-GB"/>
        </w:rPr>
        <w:t>that EU blending subsidies</w:t>
      </w:r>
      <w:r w:rsidRPr="00C37DDD">
        <w:rPr>
          <w:rFonts w:ascii="Arial" w:hAnsi="Arial"/>
          <w:sz w:val="20"/>
          <w:lang w:val="en-GB"/>
        </w:rPr>
        <w:t xml:space="preserve"> are currently </w:t>
      </w:r>
      <w:r w:rsidR="00513F63" w:rsidRPr="00C37DDD">
        <w:rPr>
          <w:rFonts w:ascii="Arial" w:hAnsi="Arial"/>
          <w:sz w:val="20"/>
          <w:lang w:val="en-GB"/>
        </w:rPr>
        <w:t>only available</w:t>
      </w:r>
      <w:r w:rsidRPr="00C37DDD">
        <w:rPr>
          <w:rFonts w:ascii="Arial" w:hAnsi="Arial"/>
          <w:sz w:val="20"/>
          <w:lang w:val="en-GB"/>
        </w:rPr>
        <w:t xml:space="preserve"> for a limited number of DFIs. </w:t>
      </w:r>
      <w:r w:rsidR="005D6A2B" w:rsidRPr="00C37DDD">
        <w:rPr>
          <w:rFonts w:ascii="Arial" w:hAnsi="Arial"/>
          <w:sz w:val="20"/>
          <w:lang w:val="en-GB"/>
        </w:rPr>
        <w:t xml:space="preserve">The EU blending </w:t>
      </w:r>
      <w:r w:rsidR="00C37DDD" w:rsidRPr="00C37DDD">
        <w:rPr>
          <w:rFonts w:ascii="Arial" w:hAnsi="Arial"/>
          <w:sz w:val="20"/>
          <w:lang w:val="en-GB"/>
        </w:rPr>
        <w:t xml:space="preserve">facilities </w:t>
      </w:r>
      <w:proofErr w:type="spellStart"/>
      <w:r w:rsidR="005D6A2B" w:rsidRPr="00C37DDD">
        <w:rPr>
          <w:rFonts w:ascii="Arial" w:hAnsi="Arial"/>
          <w:sz w:val="20"/>
          <w:lang w:val="en-GB"/>
        </w:rPr>
        <w:t>catalyzes</w:t>
      </w:r>
      <w:proofErr w:type="spellEnd"/>
      <w:r w:rsidR="005D6A2B" w:rsidRPr="00C37DDD">
        <w:rPr>
          <w:rFonts w:ascii="Arial" w:hAnsi="Arial"/>
          <w:sz w:val="20"/>
          <w:lang w:val="en-GB"/>
        </w:rPr>
        <w:t xml:space="preserve"> currently only or mainly DFI capital and not private capital. </w:t>
      </w:r>
    </w:p>
    <w:p w:rsidR="00C37DDD" w:rsidRDefault="00C37DDD">
      <w:pPr>
        <w:rPr>
          <w:rFonts w:ascii="Arial" w:hAnsi="Arial"/>
          <w:sz w:val="20"/>
          <w:lang w:val="en-GB"/>
        </w:rPr>
      </w:pPr>
    </w:p>
    <w:p w:rsidR="003D2175" w:rsidRPr="00C37DDD" w:rsidRDefault="00513F63">
      <w:pPr>
        <w:rPr>
          <w:rFonts w:ascii="Arial" w:hAnsi="Arial"/>
          <w:sz w:val="20"/>
          <w:lang w:val="en-GB"/>
        </w:rPr>
      </w:pPr>
      <w:r w:rsidRPr="00C37DDD">
        <w:rPr>
          <w:rFonts w:ascii="Arial" w:hAnsi="Arial"/>
          <w:sz w:val="20"/>
          <w:lang w:val="en-GB"/>
        </w:rPr>
        <w:t xml:space="preserve">Furthermore an important amount </w:t>
      </w:r>
      <w:r w:rsidR="003D2175" w:rsidRPr="00C37DDD">
        <w:rPr>
          <w:rFonts w:ascii="Arial" w:hAnsi="Arial"/>
          <w:sz w:val="20"/>
          <w:lang w:val="en-GB"/>
        </w:rPr>
        <w:t>of the EU blending subsidies is</w:t>
      </w:r>
      <w:r w:rsidRPr="00C37DDD">
        <w:rPr>
          <w:rFonts w:ascii="Arial" w:hAnsi="Arial"/>
          <w:sz w:val="20"/>
          <w:lang w:val="en-GB"/>
        </w:rPr>
        <w:t xml:space="preserve"> currently used to</w:t>
      </w:r>
      <w:r w:rsidR="00386A5A" w:rsidRPr="00C37DDD">
        <w:rPr>
          <w:rFonts w:ascii="Arial" w:hAnsi="Arial"/>
          <w:sz w:val="20"/>
          <w:lang w:val="en-GB"/>
        </w:rPr>
        <w:t xml:space="preserve"> subsidize DFI</w:t>
      </w:r>
      <w:r w:rsidR="003D2175" w:rsidRPr="00C37DDD">
        <w:rPr>
          <w:rFonts w:ascii="Arial" w:hAnsi="Arial"/>
          <w:sz w:val="20"/>
          <w:lang w:val="en-GB"/>
        </w:rPr>
        <w:t xml:space="preserve"> loans </w:t>
      </w:r>
      <w:r w:rsidRPr="00C37DDD">
        <w:rPr>
          <w:rFonts w:ascii="Arial" w:hAnsi="Arial"/>
          <w:sz w:val="20"/>
          <w:lang w:val="en-GB"/>
        </w:rPr>
        <w:t xml:space="preserve">to ensure that these loans meet the minimum </w:t>
      </w:r>
      <w:proofErr w:type="spellStart"/>
      <w:r w:rsidRPr="00C37DDD">
        <w:rPr>
          <w:rFonts w:ascii="Arial" w:hAnsi="Arial"/>
          <w:sz w:val="20"/>
          <w:lang w:val="en-GB"/>
        </w:rPr>
        <w:t>concessionality</w:t>
      </w:r>
      <w:proofErr w:type="spellEnd"/>
      <w:r w:rsidRPr="00C37DDD">
        <w:rPr>
          <w:rFonts w:ascii="Arial" w:hAnsi="Arial"/>
          <w:sz w:val="20"/>
          <w:lang w:val="en-GB"/>
        </w:rPr>
        <w:t xml:space="preserve"> level under the IMF/WB debt sustainability framework. For many of these projects commercial bank financing with ECA support could be used as </w:t>
      </w:r>
      <w:r w:rsidR="00C37DDD" w:rsidRPr="00C37DDD">
        <w:rPr>
          <w:rFonts w:ascii="Arial" w:hAnsi="Arial"/>
          <w:sz w:val="20"/>
          <w:lang w:val="en-GB"/>
        </w:rPr>
        <w:t>well. In many projects for which EU grant money was used</w:t>
      </w:r>
      <w:r w:rsidR="003C2482">
        <w:rPr>
          <w:rFonts w:ascii="Arial" w:hAnsi="Arial"/>
          <w:sz w:val="20"/>
          <w:lang w:val="en-GB"/>
        </w:rPr>
        <w:t xml:space="preserve"> to blend with DFI loans ECA were</w:t>
      </w:r>
      <w:r w:rsidR="00C37DDD" w:rsidRPr="00C37DDD">
        <w:rPr>
          <w:rFonts w:ascii="Arial" w:hAnsi="Arial"/>
          <w:sz w:val="20"/>
          <w:lang w:val="en-GB"/>
        </w:rPr>
        <w:t xml:space="preserve"> on cover, which means that they could have been involved in these projects. </w:t>
      </w:r>
      <w:r w:rsidRPr="00C37DDD">
        <w:rPr>
          <w:rFonts w:ascii="Arial" w:hAnsi="Arial"/>
          <w:sz w:val="20"/>
          <w:lang w:val="en-GB"/>
        </w:rPr>
        <w:t xml:space="preserve">Mixed credits (combining </w:t>
      </w:r>
      <w:r w:rsidR="000B30DC" w:rsidRPr="00C37DDD">
        <w:rPr>
          <w:rFonts w:ascii="Arial" w:hAnsi="Arial"/>
          <w:sz w:val="20"/>
          <w:lang w:val="en-GB"/>
        </w:rPr>
        <w:t xml:space="preserve">national </w:t>
      </w:r>
      <w:r w:rsidRPr="00C37DDD">
        <w:rPr>
          <w:rFonts w:ascii="Arial" w:hAnsi="Arial"/>
          <w:sz w:val="20"/>
          <w:lang w:val="en-GB"/>
        </w:rPr>
        <w:t xml:space="preserve">aid funds with ECA insurance) exist in many </w:t>
      </w:r>
      <w:r w:rsidR="003C2482">
        <w:rPr>
          <w:rFonts w:ascii="Arial" w:hAnsi="Arial"/>
          <w:sz w:val="20"/>
          <w:lang w:val="en-GB"/>
        </w:rPr>
        <w:t>individual EU</w:t>
      </w:r>
      <w:r w:rsidRPr="00C37DDD">
        <w:rPr>
          <w:rFonts w:ascii="Arial" w:hAnsi="Arial"/>
          <w:sz w:val="20"/>
          <w:lang w:val="en-GB"/>
        </w:rPr>
        <w:t xml:space="preserve"> countries, but not at an EU level. </w:t>
      </w:r>
      <w:r w:rsidR="003D2175" w:rsidRPr="00C37DDD">
        <w:rPr>
          <w:rFonts w:ascii="Arial" w:hAnsi="Arial"/>
          <w:sz w:val="20"/>
          <w:lang w:val="en-GB"/>
        </w:rPr>
        <w:t>To</w:t>
      </w:r>
      <w:r w:rsidRPr="00C37DDD">
        <w:rPr>
          <w:rFonts w:ascii="Arial" w:hAnsi="Arial"/>
          <w:sz w:val="20"/>
          <w:lang w:val="en-GB"/>
        </w:rPr>
        <w:t xml:space="preserve"> improve the mobilization performance of the</w:t>
      </w:r>
      <w:r w:rsidR="003D2175" w:rsidRPr="00C37DDD">
        <w:rPr>
          <w:rFonts w:ascii="Arial" w:hAnsi="Arial"/>
          <w:sz w:val="20"/>
          <w:lang w:val="en-GB"/>
        </w:rPr>
        <w:t xml:space="preserve"> EU it is of utmost importan</w:t>
      </w:r>
      <w:r w:rsidRPr="00C37DDD">
        <w:rPr>
          <w:rFonts w:ascii="Arial" w:hAnsi="Arial"/>
          <w:sz w:val="20"/>
          <w:lang w:val="en-GB"/>
        </w:rPr>
        <w:t xml:space="preserve">ce that EU blending funds can be used </w:t>
      </w:r>
      <w:r w:rsidR="003D2175" w:rsidRPr="00C37DDD">
        <w:rPr>
          <w:rFonts w:ascii="Arial" w:hAnsi="Arial"/>
          <w:sz w:val="20"/>
          <w:lang w:val="en-GB"/>
        </w:rPr>
        <w:t>in the form of mixed credits, whereby cooper</w:t>
      </w:r>
      <w:r w:rsidR="00386A5A" w:rsidRPr="00C37DDD">
        <w:rPr>
          <w:rFonts w:ascii="Arial" w:hAnsi="Arial"/>
          <w:sz w:val="20"/>
          <w:lang w:val="en-GB"/>
        </w:rPr>
        <w:t>ation is sought between EU DFIs</w:t>
      </w:r>
      <w:r w:rsidR="003D2175" w:rsidRPr="00C37DDD">
        <w:rPr>
          <w:rFonts w:ascii="Arial" w:hAnsi="Arial"/>
          <w:sz w:val="20"/>
          <w:lang w:val="en-GB"/>
        </w:rPr>
        <w:t xml:space="preserve"> and EU ECAs. </w:t>
      </w:r>
    </w:p>
    <w:p w:rsidR="003D2175" w:rsidRPr="00C37DDD" w:rsidRDefault="003D2175">
      <w:pPr>
        <w:rPr>
          <w:rFonts w:ascii="Arial" w:hAnsi="Arial"/>
          <w:sz w:val="20"/>
          <w:lang w:val="en-GB"/>
        </w:rPr>
      </w:pPr>
    </w:p>
    <w:p w:rsidR="000F3CBA" w:rsidRPr="00C37DDD" w:rsidRDefault="000F3CBA">
      <w:pPr>
        <w:rPr>
          <w:rFonts w:ascii="Arial" w:hAnsi="Arial"/>
          <w:b/>
          <w:i/>
          <w:sz w:val="20"/>
          <w:lang w:val="en-GB"/>
        </w:rPr>
      </w:pPr>
      <w:r w:rsidRPr="00C37DDD">
        <w:rPr>
          <w:rFonts w:ascii="Arial" w:hAnsi="Arial"/>
          <w:b/>
          <w:i/>
          <w:sz w:val="20"/>
          <w:lang w:val="en-GB"/>
        </w:rPr>
        <w:t xml:space="preserve">What gets </w:t>
      </w:r>
      <w:r w:rsidR="00386A5A" w:rsidRPr="00C37DDD">
        <w:rPr>
          <w:rFonts w:ascii="Arial" w:hAnsi="Arial"/>
          <w:b/>
          <w:i/>
          <w:sz w:val="20"/>
          <w:lang w:val="en-GB"/>
        </w:rPr>
        <w:t>measured</w:t>
      </w:r>
      <w:r w:rsidR="001726EE">
        <w:rPr>
          <w:rFonts w:ascii="Arial" w:hAnsi="Arial"/>
          <w:b/>
          <w:i/>
          <w:sz w:val="20"/>
          <w:lang w:val="en-GB"/>
        </w:rPr>
        <w:t xml:space="preserve"> gets done</w:t>
      </w:r>
    </w:p>
    <w:p w:rsidR="00C37DDD" w:rsidRDefault="000B30DC">
      <w:pPr>
        <w:rPr>
          <w:rFonts w:ascii="Arial" w:hAnsi="Arial"/>
          <w:sz w:val="20"/>
          <w:lang w:val="en-GB"/>
        </w:rPr>
      </w:pPr>
      <w:r w:rsidRPr="00C37DDD">
        <w:rPr>
          <w:rFonts w:ascii="Arial" w:hAnsi="Arial"/>
          <w:sz w:val="20"/>
          <w:lang w:val="en-GB"/>
        </w:rPr>
        <w:t>M</w:t>
      </w:r>
      <w:r w:rsidR="00DB54C3" w:rsidRPr="00C37DDD">
        <w:rPr>
          <w:rFonts w:ascii="Arial" w:hAnsi="Arial"/>
          <w:sz w:val="20"/>
          <w:lang w:val="en-GB"/>
        </w:rPr>
        <w:t>obilization of private capital</w:t>
      </w:r>
      <w:r w:rsidR="00B446B1" w:rsidRPr="00C37DDD">
        <w:rPr>
          <w:rFonts w:ascii="Arial" w:hAnsi="Arial"/>
          <w:sz w:val="20"/>
          <w:lang w:val="en-GB"/>
        </w:rPr>
        <w:t xml:space="preserve"> is </w:t>
      </w:r>
      <w:r w:rsidRPr="00C37DDD">
        <w:rPr>
          <w:rFonts w:ascii="Arial" w:hAnsi="Arial"/>
          <w:sz w:val="20"/>
          <w:lang w:val="en-GB"/>
        </w:rPr>
        <w:t xml:space="preserve">broadly </w:t>
      </w:r>
      <w:r w:rsidR="00B446B1" w:rsidRPr="00C37DDD">
        <w:rPr>
          <w:rFonts w:ascii="Arial" w:hAnsi="Arial"/>
          <w:sz w:val="20"/>
          <w:lang w:val="en-GB"/>
        </w:rPr>
        <w:t>reco</w:t>
      </w:r>
      <w:r w:rsidRPr="00C37DDD">
        <w:rPr>
          <w:rFonts w:ascii="Arial" w:hAnsi="Arial"/>
          <w:sz w:val="20"/>
          <w:lang w:val="en-GB"/>
        </w:rPr>
        <w:t>gnized as an important</w:t>
      </w:r>
      <w:r w:rsidR="00DB54C3" w:rsidRPr="00C37DDD">
        <w:rPr>
          <w:rFonts w:ascii="Arial" w:hAnsi="Arial"/>
          <w:sz w:val="20"/>
          <w:lang w:val="en-GB"/>
        </w:rPr>
        <w:t xml:space="preserve"> objective </w:t>
      </w:r>
      <w:r w:rsidRPr="00C37DDD">
        <w:rPr>
          <w:rFonts w:ascii="Arial" w:hAnsi="Arial"/>
          <w:sz w:val="20"/>
          <w:lang w:val="en-GB"/>
        </w:rPr>
        <w:t xml:space="preserve">by </w:t>
      </w:r>
      <w:r w:rsidR="00DB54C3" w:rsidRPr="00C37DDD">
        <w:rPr>
          <w:rFonts w:ascii="Arial" w:hAnsi="Arial"/>
          <w:sz w:val="20"/>
          <w:lang w:val="en-GB"/>
        </w:rPr>
        <w:t>many DFIs</w:t>
      </w:r>
      <w:r w:rsidRPr="00C37DDD">
        <w:rPr>
          <w:rFonts w:ascii="Arial" w:hAnsi="Arial"/>
          <w:sz w:val="20"/>
          <w:lang w:val="en-GB"/>
        </w:rPr>
        <w:t>. T</w:t>
      </w:r>
      <w:r w:rsidR="00DB54C3" w:rsidRPr="00C37DDD">
        <w:rPr>
          <w:rFonts w:ascii="Arial" w:hAnsi="Arial"/>
          <w:sz w:val="20"/>
          <w:lang w:val="en-GB"/>
        </w:rPr>
        <w:t xml:space="preserve">he problem is that each DFI has its own system to measure its mobilization </w:t>
      </w:r>
      <w:r w:rsidR="0084611B" w:rsidRPr="00C37DDD">
        <w:rPr>
          <w:rFonts w:ascii="Arial" w:hAnsi="Arial"/>
          <w:sz w:val="20"/>
          <w:lang w:val="en-GB"/>
        </w:rPr>
        <w:t>impact</w:t>
      </w:r>
      <w:r w:rsidR="00DB54C3" w:rsidRPr="00C37DDD">
        <w:rPr>
          <w:rFonts w:ascii="Arial" w:hAnsi="Arial"/>
          <w:sz w:val="20"/>
          <w:lang w:val="en-GB"/>
        </w:rPr>
        <w:t xml:space="preserve">. For many DFIs it is a common practice to attribute the entire financing of a project to their </w:t>
      </w:r>
      <w:r w:rsidR="0084611B" w:rsidRPr="00C37DDD">
        <w:rPr>
          <w:rFonts w:ascii="Arial" w:hAnsi="Arial"/>
          <w:sz w:val="20"/>
          <w:lang w:val="en-GB"/>
        </w:rPr>
        <w:t xml:space="preserve">financial </w:t>
      </w:r>
      <w:r w:rsidR="00DB54C3" w:rsidRPr="00C37DDD">
        <w:rPr>
          <w:rFonts w:ascii="Arial" w:hAnsi="Arial"/>
          <w:sz w:val="20"/>
          <w:lang w:val="en-GB"/>
        </w:rPr>
        <w:t>int</w:t>
      </w:r>
      <w:r w:rsidRPr="00C37DDD">
        <w:rPr>
          <w:rFonts w:ascii="Arial" w:hAnsi="Arial"/>
          <w:sz w:val="20"/>
          <w:lang w:val="en-GB"/>
        </w:rPr>
        <w:t>ervention, which leads to unrea</w:t>
      </w:r>
      <w:r w:rsidR="00DB54C3" w:rsidRPr="00C37DDD">
        <w:rPr>
          <w:rFonts w:ascii="Arial" w:hAnsi="Arial"/>
          <w:sz w:val="20"/>
          <w:lang w:val="en-GB"/>
        </w:rPr>
        <w:t>listically high mobilization figures and “double counting” in case two or more DFIs are involve</w:t>
      </w:r>
      <w:r w:rsidR="0084611B" w:rsidRPr="00C37DDD">
        <w:rPr>
          <w:rFonts w:ascii="Arial" w:hAnsi="Arial"/>
          <w:sz w:val="20"/>
          <w:lang w:val="en-GB"/>
        </w:rPr>
        <w:t>d</w:t>
      </w:r>
      <w:r w:rsidR="00DB54C3" w:rsidRPr="00C37DDD">
        <w:rPr>
          <w:rFonts w:ascii="Arial" w:hAnsi="Arial"/>
          <w:sz w:val="20"/>
          <w:lang w:val="en-GB"/>
        </w:rPr>
        <w:t xml:space="preserve"> in the </w:t>
      </w:r>
      <w:r w:rsidR="0084611B" w:rsidRPr="00C37DDD">
        <w:rPr>
          <w:rFonts w:ascii="Arial" w:hAnsi="Arial"/>
          <w:sz w:val="20"/>
          <w:lang w:val="en-GB"/>
        </w:rPr>
        <w:t>s</w:t>
      </w:r>
      <w:r w:rsidR="00DB54C3" w:rsidRPr="00C37DDD">
        <w:rPr>
          <w:rFonts w:ascii="Arial" w:hAnsi="Arial"/>
          <w:sz w:val="20"/>
          <w:lang w:val="en-GB"/>
        </w:rPr>
        <w:t>ame project</w:t>
      </w:r>
      <w:r w:rsidRPr="00C37DDD">
        <w:rPr>
          <w:rFonts w:ascii="Arial" w:hAnsi="Arial"/>
          <w:sz w:val="20"/>
          <w:lang w:val="en-GB"/>
        </w:rPr>
        <w:t xml:space="preserve">. These </w:t>
      </w:r>
      <w:r w:rsidR="00271E3F" w:rsidRPr="00C37DDD">
        <w:rPr>
          <w:rFonts w:ascii="Arial" w:hAnsi="Arial"/>
          <w:sz w:val="20"/>
          <w:lang w:val="en-GB"/>
        </w:rPr>
        <w:t xml:space="preserve">and other </w:t>
      </w:r>
      <w:r w:rsidRPr="00C37DDD">
        <w:rPr>
          <w:rFonts w:ascii="Arial" w:hAnsi="Arial"/>
          <w:sz w:val="20"/>
          <w:lang w:val="en-GB"/>
        </w:rPr>
        <w:t>imperfections</w:t>
      </w:r>
      <w:r w:rsidR="00DB54C3" w:rsidRPr="00C37DDD">
        <w:rPr>
          <w:rFonts w:ascii="Arial" w:hAnsi="Arial"/>
          <w:sz w:val="20"/>
          <w:lang w:val="en-GB"/>
        </w:rPr>
        <w:t xml:space="preserve"> </w:t>
      </w:r>
      <w:r w:rsidRPr="00C37DDD">
        <w:rPr>
          <w:rFonts w:ascii="Arial" w:hAnsi="Arial"/>
          <w:sz w:val="20"/>
          <w:lang w:val="en-GB"/>
        </w:rPr>
        <w:t>are</w:t>
      </w:r>
      <w:r w:rsidR="00DB54C3" w:rsidRPr="00C37DDD">
        <w:rPr>
          <w:rFonts w:ascii="Arial" w:hAnsi="Arial"/>
          <w:sz w:val="20"/>
          <w:lang w:val="en-GB"/>
        </w:rPr>
        <w:t xml:space="preserve"> recognized by </w:t>
      </w:r>
      <w:r w:rsidR="0084611B" w:rsidRPr="00C37DDD">
        <w:rPr>
          <w:rFonts w:ascii="Arial" w:hAnsi="Arial"/>
          <w:sz w:val="20"/>
          <w:lang w:val="en-GB"/>
        </w:rPr>
        <w:t xml:space="preserve">the </w:t>
      </w:r>
      <w:r w:rsidRPr="00C37DDD">
        <w:rPr>
          <w:rFonts w:ascii="Arial" w:hAnsi="Arial"/>
          <w:sz w:val="20"/>
          <w:lang w:val="en-GB"/>
        </w:rPr>
        <w:t>OE</w:t>
      </w:r>
      <w:r w:rsidR="00DB54C3" w:rsidRPr="00C37DDD">
        <w:rPr>
          <w:rFonts w:ascii="Arial" w:hAnsi="Arial"/>
          <w:sz w:val="20"/>
          <w:lang w:val="en-GB"/>
        </w:rPr>
        <w:t>CD DAC</w:t>
      </w:r>
      <w:r w:rsidR="0084611B" w:rsidRPr="00C37DDD">
        <w:rPr>
          <w:rFonts w:ascii="Arial" w:hAnsi="Arial"/>
          <w:sz w:val="20"/>
          <w:lang w:val="en-GB"/>
        </w:rPr>
        <w:t>, which explains</w:t>
      </w:r>
      <w:r w:rsidR="00DB54C3" w:rsidRPr="00C37DDD">
        <w:rPr>
          <w:rFonts w:ascii="Arial" w:hAnsi="Arial"/>
          <w:sz w:val="20"/>
          <w:lang w:val="en-GB"/>
        </w:rPr>
        <w:t xml:space="preserve"> why currently discussions take place to develop a common system for the measurement of mobilization. Thus far </w:t>
      </w:r>
      <w:r w:rsidR="0084611B" w:rsidRPr="00C37DDD">
        <w:rPr>
          <w:rFonts w:ascii="Arial" w:hAnsi="Arial"/>
          <w:sz w:val="20"/>
          <w:lang w:val="en-GB"/>
        </w:rPr>
        <w:t xml:space="preserve">the </w:t>
      </w:r>
      <w:r w:rsidR="0084611B" w:rsidRPr="00C37DDD">
        <w:rPr>
          <w:rFonts w:ascii="Arial" w:hAnsi="Arial"/>
          <w:sz w:val="20"/>
          <w:lang w:val="en-GB"/>
        </w:rPr>
        <w:lastRenderedPageBreak/>
        <w:t xml:space="preserve">OECD DAC has conducted a few </w:t>
      </w:r>
      <w:r w:rsidR="00386A5A" w:rsidRPr="00C37DDD">
        <w:rPr>
          <w:rFonts w:ascii="Arial" w:hAnsi="Arial"/>
          <w:sz w:val="20"/>
          <w:lang w:val="en-GB"/>
        </w:rPr>
        <w:t>surveys</w:t>
      </w:r>
      <w:r w:rsidR="0084611B" w:rsidRPr="00C37DDD">
        <w:rPr>
          <w:rFonts w:ascii="Arial" w:hAnsi="Arial"/>
          <w:sz w:val="20"/>
          <w:lang w:val="en-GB"/>
        </w:rPr>
        <w:t xml:space="preserve"> with a joint measurement methodology for a limited number of DFI financial </w:t>
      </w:r>
      <w:proofErr w:type="gramStart"/>
      <w:r w:rsidR="0084611B" w:rsidRPr="00C37DDD">
        <w:rPr>
          <w:rFonts w:ascii="Arial" w:hAnsi="Arial"/>
          <w:sz w:val="20"/>
          <w:lang w:val="en-GB"/>
        </w:rPr>
        <w:t xml:space="preserve">instruments </w:t>
      </w:r>
      <w:r w:rsidR="00DB54C3" w:rsidRPr="00C37DDD">
        <w:rPr>
          <w:rFonts w:ascii="Arial" w:hAnsi="Arial"/>
          <w:sz w:val="20"/>
          <w:lang w:val="en-GB"/>
        </w:rPr>
        <w:t xml:space="preserve"> (</w:t>
      </w:r>
      <w:proofErr w:type="gramEnd"/>
      <w:r w:rsidR="00DB54C3" w:rsidRPr="00C37DDD">
        <w:rPr>
          <w:rFonts w:ascii="Arial" w:hAnsi="Arial"/>
          <w:sz w:val="20"/>
          <w:lang w:val="en-GB"/>
        </w:rPr>
        <w:t>among which for “development gu</w:t>
      </w:r>
      <w:r w:rsidRPr="00C37DDD">
        <w:rPr>
          <w:rFonts w:ascii="Arial" w:hAnsi="Arial"/>
          <w:sz w:val="20"/>
          <w:lang w:val="en-GB"/>
        </w:rPr>
        <w:t>a</w:t>
      </w:r>
      <w:r w:rsidR="00DB54C3" w:rsidRPr="00C37DDD">
        <w:rPr>
          <w:rFonts w:ascii="Arial" w:hAnsi="Arial"/>
          <w:sz w:val="20"/>
          <w:lang w:val="en-GB"/>
        </w:rPr>
        <w:t xml:space="preserve">rantees” and A/B loans), but the suggested methodologies are </w:t>
      </w:r>
      <w:r w:rsidR="0084611B" w:rsidRPr="00C37DDD">
        <w:rPr>
          <w:rFonts w:ascii="Arial" w:hAnsi="Arial"/>
          <w:sz w:val="20"/>
          <w:lang w:val="en-GB"/>
        </w:rPr>
        <w:t xml:space="preserve">unfortunately </w:t>
      </w:r>
      <w:r w:rsidR="00DB54C3" w:rsidRPr="00C37DDD">
        <w:rPr>
          <w:rFonts w:ascii="Arial" w:hAnsi="Arial"/>
          <w:sz w:val="20"/>
          <w:lang w:val="en-GB"/>
        </w:rPr>
        <w:t>not realistic</w:t>
      </w:r>
      <w:r w:rsidR="0084611B" w:rsidRPr="00C37DDD">
        <w:rPr>
          <w:rFonts w:ascii="Arial" w:hAnsi="Arial"/>
          <w:sz w:val="20"/>
          <w:lang w:val="en-GB"/>
        </w:rPr>
        <w:t xml:space="preserve">. </w:t>
      </w:r>
      <w:r w:rsidR="00DB54C3" w:rsidRPr="00C37DDD">
        <w:rPr>
          <w:rFonts w:ascii="Arial" w:hAnsi="Arial"/>
          <w:sz w:val="20"/>
          <w:lang w:val="en-GB"/>
        </w:rPr>
        <w:t xml:space="preserve"> </w:t>
      </w:r>
    </w:p>
    <w:p w:rsidR="00C37DDD" w:rsidRDefault="00C37DDD">
      <w:pPr>
        <w:rPr>
          <w:rFonts w:ascii="Arial" w:hAnsi="Arial"/>
          <w:sz w:val="20"/>
          <w:lang w:val="en-GB"/>
        </w:rPr>
      </w:pPr>
    </w:p>
    <w:p w:rsidR="00C37DDD" w:rsidRDefault="0084611B">
      <w:pPr>
        <w:rPr>
          <w:rFonts w:ascii="Arial" w:hAnsi="Arial"/>
          <w:sz w:val="20"/>
          <w:lang w:val="en-GB"/>
        </w:rPr>
      </w:pPr>
      <w:r w:rsidRPr="00C37DDD">
        <w:rPr>
          <w:rFonts w:ascii="Arial" w:hAnsi="Arial"/>
          <w:sz w:val="20"/>
          <w:lang w:val="en-GB"/>
        </w:rPr>
        <w:t xml:space="preserve">For credit guarantees for example the entire principal loan amount can be reported as mobilized capital irrespective the type of cover (partial risk or partial credit guarantees) that is provided. From a technical point of view it would be better to </w:t>
      </w:r>
      <w:r w:rsidR="00C37DDD">
        <w:rPr>
          <w:rFonts w:ascii="Arial" w:hAnsi="Arial"/>
          <w:sz w:val="20"/>
          <w:lang w:val="en-GB"/>
        </w:rPr>
        <w:t>include</w:t>
      </w:r>
      <w:r w:rsidRPr="00C37DDD">
        <w:rPr>
          <w:rFonts w:ascii="Arial" w:hAnsi="Arial"/>
          <w:sz w:val="20"/>
          <w:lang w:val="en-GB"/>
        </w:rPr>
        <w:t xml:space="preserve"> in the mobilization figure only the uncovered part of the loan (e.g. 10%). By reporting the full loan amount the sy</w:t>
      </w:r>
      <w:r w:rsidR="00754907" w:rsidRPr="00C37DDD">
        <w:rPr>
          <w:rFonts w:ascii="Arial" w:hAnsi="Arial"/>
          <w:sz w:val="20"/>
          <w:lang w:val="en-GB"/>
        </w:rPr>
        <w:t>s</w:t>
      </w:r>
      <w:r w:rsidRPr="00C37DDD">
        <w:rPr>
          <w:rFonts w:ascii="Arial" w:hAnsi="Arial"/>
          <w:sz w:val="20"/>
          <w:lang w:val="en-GB"/>
        </w:rPr>
        <w:t xml:space="preserve">tem ignores that </w:t>
      </w:r>
      <w:r w:rsidR="00754907" w:rsidRPr="00C37DDD">
        <w:rPr>
          <w:rFonts w:ascii="Arial" w:hAnsi="Arial"/>
          <w:sz w:val="20"/>
          <w:lang w:val="en-GB"/>
        </w:rPr>
        <w:t xml:space="preserve">the </w:t>
      </w:r>
      <w:r w:rsidRPr="00C37DDD">
        <w:rPr>
          <w:rFonts w:ascii="Arial" w:hAnsi="Arial"/>
          <w:sz w:val="20"/>
          <w:lang w:val="en-GB"/>
        </w:rPr>
        <w:t xml:space="preserve">DFI </w:t>
      </w:r>
      <w:r w:rsidR="00271E3F" w:rsidRPr="00C37DDD">
        <w:rPr>
          <w:rFonts w:ascii="Arial" w:hAnsi="Arial"/>
          <w:sz w:val="20"/>
          <w:lang w:val="en-GB"/>
        </w:rPr>
        <w:t xml:space="preserve">itself has to allocate </w:t>
      </w:r>
      <w:r w:rsidR="00754907" w:rsidRPr="00C37DDD">
        <w:rPr>
          <w:rFonts w:ascii="Arial" w:hAnsi="Arial"/>
          <w:sz w:val="20"/>
          <w:lang w:val="en-GB"/>
        </w:rPr>
        <w:t>risk capital to provide the guarantee</w:t>
      </w:r>
      <w:r w:rsidR="00271E3F" w:rsidRPr="00C37DDD">
        <w:rPr>
          <w:rFonts w:ascii="Arial" w:hAnsi="Arial"/>
          <w:sz w:val="20"/>
          <w:lang w:val="en-GB"/>
        </w:rPr>
        <w:t xml:space="preserve"> and the fact that the DFI already reports this guarantee exposure as its contribution to development</w:t>
      </w:r>
      <w:r w:rsidR="00754907" w:rsidRPr="00C37DDD">
        <w:rPr>
          <w:rFonts w:ascii="Arial" w:hAnsi="Arial"/>
          <w:sz w:val="20"/>
          <w:lang w:val="en-GB"/>
        </w:rPr>
        <w:t xml:space="preserve">. </w:t>
      </w:r>
      <w:r w:rsidR="00C37DDD">
        <w:rPr>
          <w:rFonts w:ascii="Arial" w:hAnsi="Arial"/>
          <w:sz w:val="20"/>
          <w:lang w:val="en-GB"/>
        </w:rPr>
        <w:t>In a sense the current OECD DAC approach</w:t>
      </w:r>
      <w:r w:rsidR="00271E3F" w:rsidRPr="00C37DDD">
        <w:rPr>
          <w:rFonts w:ascii="Arial" w:hAnsi="Arial"/>
          <w:sz w:val="20"/>
          <w:lang w:val="en-GB"/>
        </w:rPr>
        <w:t xml:space="preserve"> </w:t>
      </w:r>
      <w:r w:rsidR="00C37DDD">
        <w:rPr>
          <w:rFonts w:ascii="Arial" w:hAnsi="Arial"/>
          <w:sz w:val="20"/>
          <w:lang w:val="en-GB"/>
        </w:rPr>
        <w:t xml:space="preserve">for guarantees </w:t>
      </w:r>
      <w:r w:rsidR="00271E3F" w:rsidRPr="00C37DDD">
        <w:rPr>
          <w:rFonts w:ascii="Arial" w:hAnsi="Arial"/>
          <w:sz w:val="20"/>
          <w:lang w:val="en-GB"/>
        </w:rPr>
        <w:t xml:space="preserve">could lead to a new form of double counting. </w:t>
      </w:r>
      <w:r w:rsidR="00754907" w:rsidRPr="00C37DDD">
        <w:rPr>
          <w:rFonts w:ascii="Arial" w:hAnsi="Arial"/>
          <w:sz w:val="20"/>
          <w:lang w:val="en-GB"/>
        </w:rPr>
        <w:t xml:space="preserve">Moreover this </w:t>
      </w:r>
      <w:r w:rsidR="00271E3F" w:rsidRPr="00C37DDD">
        <w:rPr>
          <w:rFonts w:ascii="Arial" w:hAnsi="Arial"/>
          <w:sz w:val="20"/>
          <w:lang w:val="en-GB"/>
        </w:rPr>
        <w:t>methodology</w:t>
      </w:r>
      <w:r w:rsidR="00754907" w:rsidRPr="00C37DDD">
        <w:rPr>
          <w:rFonts w:ascii="Arial" w:hAnsi="Arial"/>
          <w:sz w:val="20"/>
          <w:lang w:val="en-GB"/>
        </w:rPr>
        <w:t xml:space="preserve"> is a disincentive for a DFI to seek reinsurance for its guarantee exposure</w:t>
      </w:r>
      <w:r w:rsidR="003D2175" w:rsidRPr="00C37DDD">
        <w:rPr>
          <w:rFonts w:ascii="Arial" w:hAnsi="Arial"/>
          <w:sz w:val="20"/>
          <w:lang w:val="en-GB"/>
        </w:rPr>
        <w:t>, for the full loan amount</w:t>
      </w:r>
      <w:r w:rsidR="000B30DC" w:rsidRPr="00C37DDD">
        <w:rPr>
          <w:rFonts w:ascii="Arial" w:hAnsi="Arial"/>
          <w:sz w:val="20"/>
          <w:lang w:val="en-GB"/>
        </w:rPr>
        <w:t xml:space="preserve"> is already capture</w:t>
      </w:r>
      <w:r w:rsidR="003D2175" w:rsidRPr="00C37DDD">
        <w:rPr>
          <w:rFonts w:ascii="Arial" w:hAnsi="Arial"/>
          <w:sz w:val="20"/>
          <w:lang w:val="en-GB"/>
        </w:rPr>
        <w:t>d</w:t>
      </w:r>
      <w:r w:rsidR="000B30DC" w:rsidRPr="00C37DDD">
        <w:rPr>
          <w:rFonts w:ascii="Arial" w:hAnsi="Arial"/>
          <w:sz w:val="20"/>
          <w:lang w:val="en-GB"/>
        </w:rPr>
        <w:t xml:space="preserve"> </w:t>
      </w:r>
      <w:r w:rsidR="003D2175" w:rsidRPr="00C37DDD">
        <w:rPr>
          <w:rFonts w:ascii="Arial" w:hAnsi="Arial"/>
          <w:sz w:val="20"/>
          <w:lang w:val="en-GB"/>
        </w:rPr>
        <w:t>in the OECD measurement system and reinsurance is not (yet?) recognized as an acceptable way to mobilize other sources of capital.</w:t>
      </w:r>
      <w:r w:rsidR="000B30DC" w:rsidRPr="00C37DDD">
        <w:rPr>
          <w:rFonts w:ascii="Arial" w:hAnsi="Arial"/>
          <w:sz w:val="20"/>
          <w:lang w:val="en-GB"/>
        </w:rPr>
        <w:t xml:space="preserve"> </w:t>
      </w:r>
      <w:r w:rsidR="00F72BB8" w:rsidRPr="00C37DDD">
        <w:rPr>
          <w:rFonts w:ascii="Arial" w:hAnsi="Arial"/>
          <w:sz w:val="20"/>
          <w:lang w:val="en-GB"/>
        </w:rPr>
        <w:t xml:space="preserve">This is also the case for the insurance of DFI loan exposure. </w:t>
      </w:r>
    </w:p>
    <w:p w:rsidR="00C37DDD" w:rsidRDefault="00C37DDD">
      <w:pPr>
        <w:rPr>
          <w:rFonts w:ascii="Arial" w:hAnsi="Arial"/>
          <w:sz w:val="20"/>
          <w:lang w:val="en-GB"/>
        </w:rPr>
      </w:pPr>
    </w:p>
    <w:p w:rsidR="00F72BB8" w:rsidRPr="00C37DDD" w:rsidRDefault="00F72BB8">
      <w:pPr>
        <w:rPr>
          <w:rFonts w:ascii="Arial" w:hAnsi="Arial"/>
          <w:sz w:val="20"/>
          <w:lang w:val="en-GB"/>
        </w:rPr>
      </w:pPr>
      <w:r w:rsidRPr="00C37DDD">
        <w:rPr>
          <w:rFonts w:ascii="Arial" w:hAnsi="Arial"/>
          <w:sz w:val="20"/>
          <w:lang w:val="en-GB"/>
        </w:rPr>
        <w:t>It is important that for guarantees and risk transfer techniques</w:t>
      </w:r>
      <w:r w:rsidR="00271E3F" w:rsidRPr="00C37DDD">
        <w:rPr>
          <w:rFonts w:ascii="Arial" w:hAnsi="Arial"/>
          <w:sz w:val="20"/>
          <w:lang w:val="en-GB"/>
        </w:rPr>
        <w:t xml:space="preserve"> as shown by </w:t>
      </w:r>
      <w:r w:rsidRPr="00C37DDD">
        <w:rPr>
          <w:rFonts w:ascii="Arial" w:hAnsi="Arial"/>
          <w:sz w:val="20"/>
          <w:lang w:val="en-GB"/>
        </w:rPr>
        <w:t>MIGA</w:t>
      </w:r>
      <w:r w:rsidR="00386A5A" w:rsidRPr="00C37DDD">
        <w:rPr>
          <w:rFonts w:ascii="Arial" w:hAnsi="Arial"/>
          <w:sz w:val="20"/>
          <w:lang w:val="en-GB"/>
        </w:rPr>
        <w:t>’</w:t>
      </w:r>
      <w:r w:rsidRPr="00C37DDD">
        <w:rPr>
          <w:rFonts w:ascii="Arial" w:hAnsi="Arial"/>
          <w:sz w:val="20"/>
          <w:lang w:val="en-GB"/>
        </w:rPr>
        <w:t xml:space="preserve">s reinsurance of 40% of its </w:t>
      </w:r>
      <w:r w:rsidR="00271E3F" w:rsidRPr="00C37DDD">
        <w:rPr>
          <w:rFonts w:ascii="Arial" w:hAnsi="Arial"/>
          <w:sz w:val="20"/>
          <w:lang w:val="en-GB"/>
        </w:rPr>
        <w:t xml:space="preserve">gross </w:t>
      </w:r>
      <w:r w:rsidRPr="00C37DDD">
        <w:rPr>
          <w:rFonts w:ascii="Arial" w:hAnsi="Arial"/>
          <w:sz w:val="20"/>
          <w:lang w:val="en-GB"/>
        </w:rPr>
        <w:t>exposure</w:t>
      </w:r>
      <w:r w:rsidR="00271E3F" w:rsidRPr="00C37DDD">
        <w:rPr>
          <w:rFonts w:ascii="Arial" w:hAnsi="Arial"/>
          <w:sz w:val="20"/>
          <w:lang w:val="en-GB"/>
        </w:rPr>
        <w:t>,</w:t>
      </w:r>
      <w:r w:rsidRPr="00C37DDD">
        <w:rPr>
          <w:rFonts w:ascii="Arial" w:hAnsi="Arial"/>
          <w:sz w:val="20"/>
          <w:lang w:val="en-GB"/>
        </w:rPr>
        <w:t xml:space="preserve"> adequate measurement methodologies are developed. </w:t>
      </w:r>
      <w:r w:rsidR="00271E3F" w:rsidRPr="00C37DDD">
        <w:rPr>
          <w:rFonts w:ascii="Arial" w:hAnsi="Arial"/>
          <w:sz w:val="20"/>
          <w:lang w:val="en-GB"/>
        </w:rPr>
        <w:t xml:space="preserve">The measurement methodologies developed thus far in the OECD DAC do not lead to realistic mobilization figures, which is very unfortunate. </w:t>
      </w:r>
      <w:r w:rsidR="001726EE">
        <w:rPr>
          <w:rFonts w:ascii="Arial" w:hAnsi="Arial"/>
          <w:sz w:val="20"/>
          <w:lang w:val="en-GB"/>
        </w:rPr>
        <w:t>M</w:t>
      </w:r>
      <w:r w:rsidR="00271E3F" w:rsidRPr="00C37DDD">
        <w:rPr>
          <w:rFonts w:ascii="Arial" w:hAnsi="Arial"/>
          <w:sz w:val="20"/>
          <w:lang w:val="en-GB"/>
        </w:rPr>
        <w:t xml:space="preserve">uch more concerning is that it </w:t>
      </w:r>
      <w:r w:rsidR="001726EE">
        <w:rPr>
          <w:rFonts w:ascii="Arial" w:hAnsi="Arial"/>
          <w:sz w:val="20"/>
          <w:lang w:val="en-GB"/>
        </w:rPr>
        <w:t xml:space="preserve">does </w:t>
      </w:r>
      <w:r w:rsidR="00271E3F" w:rsidRPr="00C37DDD">
        <w:rPr>
          <w:rFonts w:ascii="Arial" w:hAnsi="Arial"/>
          <w:sz w:val="20"/>
          <w:lang w:val="en-GB"/>
        </w:rPr>
        <w:t xml:space="preserve">not contribute to the development </w:t>
      </w:r>
      <w:r w:rsidR="003C2482">
        <w:rPr>
          <w:rFonts w:ascii="Arial" w:hAnsi="Arial"/>
          <w:sz w:val="20"/>
          <w:lang w:val="en-GB"/>
        </w:rPr>
        <w:t xml:space="preserve">and implementation </w:t>
      </w:r>
      <w:r w:rsidR="00271E3F" w:rsidRPr="00C37DDD">
        <w:rPr>
          <w:rFonts w:ascii="Arial" w:hAnsi="Arial"/>
          <w:sz w:val="20"/>
          <w:lang w:val="en-GB"/>
        </w:rPr>
        <w:t>of succe</w:t>
      </w:r>
      <w:r w:rsidR="00386A5A" w:rsidRPr="00C37DDD">
        <w:rPr>
          <w:rFonts w:ascii="Arial" w:hAnsi="Arial"/>
          <w:sz w:val="20"/>
          <w:lang w:val="en-GB"/>
        </w:rPr>
        <w:t>s</w:t>
      </w:r>
      <w:r w:rsidR="00271E3F" w:rsidRPr="00C37DDD">
        <w:rPr>
          <w:rFonts w:ascii="Arial" w:hAnsi="Arial"/>
          <w:sz w:val="20"/>
          <w:lang w:val="en-GB"/>
        </w:rPr>
        <w:t xml:space="preserve">sful </w:t>
      </w:r>
      <w:r w:rsidR="001726EE">
        <w:rPr>
          <w:rFonts w:ascii="Arial" w:hAnsi="Arial"/>
          <w:sz w:val="20"/>
          <w:lang w:val="en-GB"/>
        </w:rPr>
        <w:t xml:space="preserve">DFI </w:t>
      </w:r>
      <w:r w:rsidR="00271E3F" w:rsidRPr="00C37DDD">
        <w:rPr>
          <w:rFonts w:ascii="Arial" w:hAnsi="Arial"/>
          <w:sz w:val="20"/>
          <w:lang w:val="en-GB"/>
        </w:rPr>
        <w:t xml:space="preserve">mobilization strategies. </w:t>
      </w:r>
      <w:r w:rsidR="00386A5A" w:rsidRPr="00C37DDD">
        <w:rPr>
          <w:rFonts w:ascii="Arial" w:hAnsi="Arial"/>
          <w:sz w:val="20"/>
          <w:lang w:val="en-GB"/>
        </w:rPr>
        <w:t>For</w:t>
      </w:r>
      <w:r w:rsidR="00271E3F" w:rsidRPr="00C37DDD">
        <w:rPr>
          <w:rFonts w:ascii="Arial" w:hAnsi="Arial"/>
          <w:sz w:val="20"/>
          <w:lang w:val="en-GB"/>
        </w:rPr>
        <w:t xml:space="preserve"> w</w:t>
      </w:r>
      <w:r w:rsidRPr="00C37DDD">
        <w:rPr>
          <w:rFonts w:ascii="Arial" w:hAnsi="Arial"/>
          <w:sz w:val="20"/>
          <w:lang w:val="en-GB"/>
        </w:rPr>
        <w:t xml:space="preserve">hat </w:t>
      </w:r>
      <w:r w:rsidR="00386A5A" w:rsidRPr="00C37DDD">
        <w:rPr>
          <w:rFonts w:ascii="Arial" w:hAnsi="Arial"/>
          <w:sz w:val="20"/>
          <w:lang w:val="en-GB"/>
        </w:rPr>
        <w:t>gets</w:t>
      </w:r>
      <w:r w:rsidRPr="00C37DDD">
        <w:rPr>
          <w:rFonts w:ascii="Arial" w:hAnsi="Arial"/>
          <w:sz w:val="20"/>
          <w:lang w:val="en-GB"/>
        </w:rPr>
        <w:t xml:space="preserve"> measured, gets done.</w:t>
      </w:r>
    </w:p>
    <w:p w:rsidR="00F72BB8" w:rsidRPr="00C37DDD" w:rsidRDefault="00F72BB8">
      <w:pPr>
        <w:rPr>
          <w:rFonts w:ascii="Arial" w:hAnsi="Arial"/>
          <w:sz w:val="20"/>
          <w:lang w:val="en-GB"/>
        </w:rPr>
      </w:pPr>
    </w:p>
    <w:p w:rsidR="00053A03" w:rsidRPr="00C37DDD" w:rsidRDefault="000B30DC">
      <w:pPr>
        <w:rPr>
          <w:rFonts w:ascii="Arial" w:hAnsi="Arial"/>
          <w:sz w:val="20"/>
          <w:lang w:val="en-GB"/>
        </w:rPr>
      </w:pPr>
      <w:r w:rsidRPr="00C37DDD">
        <w:rPr>
          <w:rFonts w:ascii="Arial" w:hAnsi="Arial"/>
          <w:sz w:val="20"/>
          <w:lang w:val="en-GB"/>
        </w:rPr>
        <w:t>In conclusion it can be said that mobilization of private capital is of great importance for all stakeholders in infrastructure. If the above</w:t>
      </w:r>
      <w:r w:rsidR="00C37DDD" w:rsidRPr="00C37DDD">
        <w:rPr>
          <w:rFonts w:ascii="Arial" w:hAnsi="Arial"/>
          <w:sz w:val="20"/>
          <w:lang w:val="en-GB"/>
        </w:rPr>
        <w:t>-</w:t>
      </w:r>
      <w:r w:rsidRPr="00C37DDD">
        <w:rPr>
          <w:rFonts w:ascii="Arial" w:hAnsi="Arial"/>
          <w:sz w:val="20"/>
          <w:lang w:val="en-GB"/>
        </w:rPr>
        <w:t>mentioned suggestions would be implemented in the development finance co</w:t>
      </w:r>
      <w:r w:rsidR="00F72BB8" w:rsidRPr="00C37DDD">
        <w:rPr>
          <w:rFonts w:ascii="Arial" w:hAnsi="Arial"/>
          <w:sz w:val="20"/>
          <w:lang w:val="en-GB"/>
        </w:rPr>
        <w:t>mmunity an</w:t>
      </w:r>
      <w:r w:rsidRPr="00C37DDD">
        <w:rPr>
          <w:rFonts w:ascii="Arial" w:hAnsi="Arial"/>
          <w:sz w:val="20"/>
          <w:lang w:val="en-GB"/>
        </w:rPr>
        <w:t>d</w:t>
      </w:r>
      <w:r w:rsidR="00F72BB8" w:rsidRPr="00C37DDD">
        <w:rPr>
          <w:rFonts w:ascii="Arial" w:hAnsi="Arial"/>
          <w:sz w:val="20"/>
          <w:lang w:val="en-GB"/>
        </w:rPr>
        <w:t xml:space="preserve"> solid </w:t>
      </w:r>
      <w:r w:rsidRPr="00C37DDD">
        <w:rPr>
          <w:rFonts w:ascii="Arial" w:hAnsi="Arial"/>
          <w:sz w:val="20"/>
          <w:lang w:val="en-GB"/>
        </w:rPr>
        <w:t xml:space="preserve">bridges could be </w:t>
      </w:r>
      <w:proofErr w:type="spellStart"/>
      <w:r w:rsidRPr="00C37DDD">
        <w:rPr>
          <w:rFonts w:ascii="Arial" w:hAnsi="Arial"/>
          <w:sz w:val="20"/>
          <w:lang w:val="en-GB"/>
        </w:rPr>
        <w:t>build</w:t>
      </w:r>
      <w:proofErr w:type="spellEnd"/>
      <w:r w:rsidRPr="00C37DDD">
        <w:rPr>
          <w:rFonts w:ascii="Arial" w:hAnsi="Arial"/>
          <w:sz w:val="20"/>
          <w:lang w:val="en-GB"/>
        </w:rPr>
        <w:t xml:space="preserve"> between development financiers and commercial financiers (incl</w:t>
      </w:r>
      <w:r w:rsidR="00386A5A" w:rsidRPr="00C37DDD">
        <w:rPr>
          <w:rFonts w:ascii="Arial" w:hAnsi="Arial"/>
          <w:sz w:val="20"/>
          <w:lang w:val="en-GB"/>
        </w:rPr>
        <w:t>.</w:t>
      </w:r>
      <w:r w:rsidRPr="00C37DDD">
        <w:rPr>
          <w:rFonts w:ascii="Arial" w:hAnsi="Arial"/>
          <w:sz w:val="20"/>
          <w:lang w:val="en-GB"/>
        </w:rPr>
        <w:t xml:space="preserve"> ECAs) a lot could be gained. </w:t>
      </w:r>
      <w:r w:rsidR="00E83D9B">
        <w:rPr>
          <w:rFonts w:ascii="Arial" w:hAnsi="Arial"/>
          <w:sz w:val="20"/>
          <w:lang w:val="en-GB"/>
        </w:rPr>
        <w:t>P</w:t>
      </w:r>
      <w:r w:rsidR="00C37DDD" w:rsidRPr="00C37DDD">
        <w:rPr>
          <w:rFonts w:ascii="Arial" w:hAnsi="Arial"/>
          <w:sz w:val="20"/>
          <w:lang w:val="en-GB"/>
        </w:rPr>
        <w:t xml:space="preserve">olicymakers and shareholders of DFIs </w:t>
      </w:r>
      <w:r w:rsidR="003C2482">
        <w:rPr>
          <w:rFonts w:ascii="Arial" w:hAnsi="Arial"/>
          <w:sz w:val="20"/>
          <w:lang w:val="en-GB"/>
        </w:rPr>
        <w:t xml:space="preserve">should carefully </w:t>
      </w:r>
      <w:r w:rsidR="00C37DDD" w:rsidRPr="00C37DDD">
        <w:rPr>
          <w:rFonts w:ascii="Arial" w:hAnsi="Arial"/>
          <w:sz w:val="20"/>
          <w:lang w:val="en-GB"/>
        </w:rPr>
        <w:t xml:space="preserve">look at </w:t>
      </w:r>
      <w:r w:rsidR="003C2482">
        <w:rPr>
          <w:rFonts w:ascii="Arial" w:hAnsi="Arial"/>
          <w:sz w:val="20"/>
          <w:lang w:val="en-GB"/>
        </w:rPr>
        <w:t xml:space="preserve">(the impact of) </w:t>
      </w:r>
      <w:r w:rsidR="00C37DDD" w:rsidRPr="00C37DDD">
        <w:rPr>
          <w:rFonts w:ascii="Arial" w:hAnsi="Arial"/>
          <w:sz w:val="20"/>
          <w:lang w:val="en-GB"/>
        </w:rPr>
        <w:t>the</w:t>
      </w:r>
      <w:r w:rsidR="00E83D9B">
        <w:rPr>
          <w:rFonts w:ascii="Arial" w:hAnsi="Arial"/>
          <w:sz w:val="20"/>
          <w:lang w:val="en-GB"/>
        </w:rPr>
        <w:t>ir</w:t>
      </w:r>
      <w:r w:rsidR="00C37DDD" w:rsidRPr="00C37DDD">
        <w:rPr>
          <w:rFonts w:ascii="Arial" w:hAnsi="Arial"/>
          <w:sz w:val="20"/>
          <w:lang w:val="en-GB"/>
        </w:rPr>
        <w:t xml:space="preserve"> </w:t>
      </w:r>
      <w:r w:rsidR="00E83D9B">
        <w:rPr>
          <w:rFonts w:ascii="Arial" w:hAnsi="Arial"/>
          <w:sz w:val="20"/>
          <w:lang w:val="en-GB"/>
        </w:rPr>
        <w:t xml:space="preserve">organisational and staff </w:t>
      </w:r>
      <w:r w:rsidR="00C37DDD" w:rsidRPr="00C37DDD">
        <w:rPr>
          <w:rFonts w:ascii="Arial" w:hAnsi="Arial"/>
          <w:sz w:val="20"/>
          <w:lang w:val="en-GB"/>
        </w:rPr>
        <w:t>incentives of their development operations. With the right incentives, policies and regulatory frameworks m</w:t>
      </w:r>
      <w:r w:rsidR="00F72BB8" w:rsidRPr="00C37DDD">
        <w:rPr>
          <w:rFonts w:ascii="Arial" w:hAnsi="Arial"/>
          <w:sz w:val="20"/>
          <w:lang w:val="en-GB"/>
        </w:rPr>
        <w:t xml:space="preserve">ore finance for both public and private sector infrastructure projects </w:t>
      </w:r>
      <w:r w:rsidR="00386A5A" w:rsidRPr="00C37DDD">
        <w:rPr>
          <w:rFonts w:ascii="Arial" w:hAnsi="Arial"/>
          <w:sz w:val="20"/>
          <w:lang w:val="en-GB"/>
        </w:rPr>
        <w:t>–</w:t>
      </w:r>
      <w:r w:rsidR="00F72BB8" w:rsidRPr="00C37DDD">
        <w:rPr>
          <w:rFonts w:ascii="Arial" w:hAnsi="Arial"/>
          <w:sz w:val="20"/>
          <w:lang w:val="en-GB"/>
        </w:rPr>
        <w:t xml:space="preserve"> and in many cases on the basis of improved terms and conditions</w:t>
      </w:r>
      <w:r w:rsidR="00386A5A" w:rsidRPr="00C37DDD">
        <w:rPr>
          <w:rFonts w:ascii="Arial" w:hAnsi="Arial"/>
          <w:sz w:val="20"/>
          <w:lang w:val="en-GB"/>
        </w:rPr>
        <w:t xml:space="preserve"> – </w:t>
      </w:r>
      <w:r w:rsidR="00C37DDD" w:rsidRPr="00C37DDD">
        <w:rPr>
          <w:rFonts w:ascii="Arial" w:hAnsi="Arial"/>
          <w:sz w:val="20"/>
          <w:lang w:val="en-GB"/>
        </w:rPr>
        <w:t xml:space="preserve">could become available. This </w:t>
      </w:r>
      <w:r w:rsidR="00AF629F">
        <w:rPr>
          <w:rFonts w:ascii="Arial" w:hAnsi="Arial"/>
          <w:sz w:val="20"/>
          <w:lang w:val="en-GB"/>
        </w:rPr>
        <w:t xml:space="preserve">in turn will </w:t>
      </w:r>
      <w:r w:rsidR="00E83D9B">
        <w:rPr>
          <w:rFonts w:ascii="Arial" w:hAnsi="Arial"/>
          <w:sz w:val="20"/>
          <w:lang w:val="en-GB"/>
        </w:rPr>
        <w:t>lead to</w:t>
      </w:r>
      <w:r w:rsidR="00AF629F">
        <w:rPr>
          <w:rFonts w:ascii="Arial" w:hAnsi="Arial"/>
          <w:sz w:val="20"/>
          <w:lang w:val="en-GB"/>
        </w:rPr>
        <w:t xml:space="preserve"> d</w:t>
      </w:r>
      <w:r w:rsidR="00F72BB8" w:rsidRPr="00C37DDD">
        <w:rPr>
          <w:rFonts w:ascii="Arial" w:hAnsi="Arial"/>
          <w:sz w:val="20"/>
          <w:lang w:val="en-GB"/>
        </w:rPr>
        <w:t xml:space="preserve">evelopment </w:t>
      </w:r>
      <w:r w:rsidR="00AF629F">
        <w:rPr>
          <w:rFonts w:ascii="Arial" w:hAnsi="Arial"/>
          <w:sz w:val="20"/>
          <w:lang w:val="en-GB"/>
        </w:rPr>
        <w:t>in</w:t>
      </w:r>
      <w:r w:rsidR="00F72BB8" w:rsidRPr="00C37DDD">
        <w:rPr>
          <w:rFonts w:ascii="Arial" w:hAnsi="Arial"/>
          <w:sz w:val="20"/>
          <w:lang w:val="en-GB"/>
        </w:rPr>
        <w:t xml:space="preserve"> developing countries, </w:t>
      </w:r>
      <w:r w:rsidR="00E83D9B">
        <w:rPr>
          <w:rFonts w:ascii="Arial" w:hAnsi="Arial"/>
          <w:sz w:val="20"/>
          <w:lang w:val="en-GB"/>
        </w:rPr>
        <w:t>better l</w:t>
      </w:r>
      <w:r w:rsidR="00053A03" w:rsidRPr="00C37DDD">
        <w:rPr>
          <w:rFonts w:ascii="Arial" w:hAnsi="Arial"/>
          <w:sz w:val="20"/>
          <w:lang w:val="en-GB"/>
        </w:rPr>
        <w:t xml:space="preserve">iving conditions for the people living in these countries, </w:t>
      </w:r>
      <w:r w:rsidR="00F72BB8" w:rsidRPr="00C37DDD">
        <w:rPr>
          <w:rFonts w:ascii="Arial" w:hAnsi="Arial"/>
          <w:sz w:val="20"/>
          <w:lang w:val="en-GB"/>
        </w:rPr>
        <w:t>a greater developmental impact of DFI’s and more business for infrastructure c</w:t>
      </w:r>
      <w:r w:rsidR="00053A03" w:rsidRPr="00C37DDD">
        <w:rPr>
          <w:rFonts w:ascii="Arial" w:hAnsi="Arial"/>
          <w:sz w:val="20"/>
          <w:lang w:val="en-GB"/>
        </w:rPr>
        <w:t xml:space="preserve">onstruction companies. </w:t>
      </w:r>
      <w:proofErr w:type="gramStart"/>
      <w:r w:rsidR="00053A03" w:rsidRPr="00C37DDD">
        <w:rPr>
          <w:rFonts w:ascii="Arial" w:hAnsi="Arial"/>
          <w:sz w:val="20"/>
          <w:lang w:val="en-GB"/>
        </w:rPr>
        <w:t>So a win-</w:t>
      </w:r>
      <w:r w:rsidR="00F72BB8" w:rsidRPr="00C37DDD">
        <w:rPr>
          <w:rFonts w:ascii="Arial" w:hAnsi="Arial"/>
          <w:sz w:val="20"/>
          <w:lang w:val="en-GB"/>
        </w:rPr>
        <w:t>win for all.</w:t>
      </w:r>
      <w:proofErr w:type="gramEnd"/>
      <w:r w:rsidR="00F72BB8" w:rsidRPr="00C37DDD">
        <w:rPr>
          <w:rFonts w:ascii="Arial" w:hAnsi="Arial"/>
          <w:sz w:val="20"/>
          <w:lang w:val="en-GB"/>
        </w:rPr>
        <w:t xml:space="preserve"> Where there</w:t>
      </w:r>
      <w:r w:rsidR="00053A03" w:rsidRPr="00C37DDD">
        <w:rPr>
          <w:rFonts w:ascii="Arial" w:hAnsi="Arial"/>
          <w:sz w:val="20"/>
          <w:lang w:val="en-GB"/>
        </w:rPr>
        <w:t xml:space="preserve"> is a will, there is a way, so it must be possible to move successfully forward.</w:t>
      </w:r>
      <w:r w:rsidR="003C2482">
        <w:rPr>
          <w:rFonts w:ascii="Arial" w:hAnsi="Arial"/>
          <w:sz w:val="20"/>
          <w:lang w:val="en-GB"/>
        </w:rPr>
        <w:t xml:space="preserve"> The UN sustainability goals, which include the importance of infrastructure development, show the direction, so it is now primarily a matter of bringing people and organisations together and build the necessary bridges between them. </w:t>
      </w:r>
    </w:p>
    <w:p w:rsidR="00053A03" w:rsidRPr="00C37DDD" w:rsidRDefault="00053A03">
      <w:pPr>
        <w:rPr>
          <w:rFonts w:ascii="Arial" w:hAnsi="Arial"/>
          <w:sz w:val="20"/>
          <w:lang w:val="en-GB"/>
        </w:rPr>
      </w:pPr>
      <w:r w:rsidRPr="00C37DDD">
        <w:rPr>
          <w:rFonts w:ascii="Arial" w:hAnsi="Arial"/>
          <w:sz w:val="20"/>
          <w:lang w:val="en-GB"/>
        </w:rPr>
        <w:t xml:space="preserve"> </w:t>
      </w:r>
    </w:p>
    <w:p w:rsidR="0036709B" w:rsidRDefault="0036709B">
      <w:pPr>
        <w:rPr>
          <w:rFonts w:ascii="Arial" w:hAnsi="Arial"/>
          <w:sz w:val="20"/>
          <w:lang w:val="en-GB"/>
        </w:rPr>
      </w:pPr>
    </w:p>
    <w:p w:rsidR="0036709B" w:rsidRDefault="0036709B">
      <w:pPr>
        <w:rPr>
          <w:rFonts w:ascii="Arial" w:hAnsi="Arial"/>
          <w:sz w:val="20"/>
          <w:lang w:val="en-GB"/>
        </w:rPr>
      </w:pPr>
    </w:p>
    <w:p w:rsidR="005A3257" w:rsidRDefault="005A3257">
      <w:pPr>
        <w:rPr>
          <w:rFonts w:ascii="Arial" w:hAnsi="Arial"/>
          <w:sz w:val="20"/>
          <w:lang w:val="en-GB"/>
        </w:rPr>
      </w:pPr>
      <w:r>
        <w:rPr>
          <w:rFonts w:ascii="Arial" w:hAnsi="Arial"/>
          <w:sz w:val="20"/>
          <w:lang w:val="en-GB"/>
        </w:rPr>
        <w:t xml:space="preserve">This article </w:t>
      </w:r>
      <w:r w:rsidR="0087090A">
        <w:rPr>
          <w:rFonts w:ascii="Arial" w:hAnsi="Arial"/>
          <w:sz w:val="20"/>
          <w:lang w:val="en-GB"/>
        </w:rPr>
        <w:t>was</w:t>
      </w:r>
      <w:r>
        <w:rPr>
          <w:rFonts w:ascii="Arial" w:hAnsi="Arial"/>
          <w:sz w:val="20"/>
          <w:lang w:val="en-GB"/>
        </w:rPr>
        <w:t xml:space="preserve"> written by the following authors:</w:t>
      </w:r>
    </w:p>
    <w:p w:rsidR="005A3257" w:rsidRPr="005A3257" w:rsidRDefault="005A3257" w:rsidP="005A3257">
      <w:pPr>
        <w:pStyle w:val="Paragraphedeliste"/>
        <w:numPr>
          <w:ilvl w:val="0"/>
          <w:numId w:val="1"/>
        </w:numPr>
        <w:rPr>
          <w:rFonts w:ascii="Arial" w:hAnsi="Arial"/>
          <w:sz w:val="20"/>
          <w:lang w:val="en-GB"/>
        </w:rPr>
      </w:pPr>
      <w:r w:rsidRPr="005A3257">
        <w:rPr>
          <w:rFonts w:ascii="Arial" w:hAnsi="Arial"/>
          <w:sz w:val="20"/>
          <w:lang w:val="en-GB"/>
        </w:rPr>
        <w:t xml:space="preserve">Frank </w:t>
      </w:r>
      <w:proofErr w:type="spellStart"/>
      <w:r w:rsidRPr="005A3257">
        <w:rPr>
          <w:rFonts w:ascii="Arial" w:hAnsi="Arial"/>
          <w:sz w:val="20"/>
          <w:lang w:val="en-GB"/>
        </w:rPr>
        <w:t>Kehlenbach</w:t>
      </w:r>
      <w:proofErr w:type="spellEnd"/>
      <w:r w:rsidRPr="005A3257">
        <w:rPr>
          <w:rFonts w:ascii="Arial" w:hAnsi="Arial"/>
          <w:sz w:val="20"/>
          <w:lang w:val="en-GB"/>
        </w:rPr>
        <w:t>, (European International Contractors)</w:t>
      </w:r>
    </w:p>
    <w:p w:rsidR="005A3257" w:rsidRPr="005A3257" w:rsidRDefault="005A3257" w:rsidP="005A3257">
      <w:pPr>
        <w:pStyle w:val="Paragraphedeliste"/>
        <w:numPr>
          <w:ilvl w:val="0"/>
          <w:numId w:val="1"/>
        </w:numPr>
        <w:rPr>
          <w:rFonts w:ascii="Arial" w:hAnsi="Arial" w:cs="Arial"/>
          <w:sz w:val="20"/>
          <w:szCs w:val="26"/>
        </w:rPr>
      </w:pPr>
      <w:r w:rsidRPr="005A3257">
        <w:rPr>
          <w:rFonts w:ascii="Arial" w:hAnsi="Arial"/>
          <w:sz w:val="20"/>
          <w:lang w:val="en-GB"/>
        </w:rPr>
        <w:t xml:space="preserve">Roger </w:t>
      </w:r>
      <w:proofErr w:type="spellStart"/>
      <w:r w:rsidRPr="005A3257">
        <w:rPr>
          <w:rFonts w:ascii="Arial" w:hAnsi="Arial"/>
          <w:sz w:val="20"/>
          <w:lang w:val="en-GB"/>
        </w:rPr>
        <w:t>Fiszelson</w:t>
      </w:r>
      <w:proofErr w:type="spellEnd"/>
      <w:r w:rsidRPr="005A3257">
        <w:rPr>
          <w:rFonts w:ascii="Arial" w:hAnsi="Arial"/>
          <w:sz w:val="20"/>
          <w:lang w:val="en-GB"/>
        </w:rPr>
        <w:t xml:space="preserve"> (</w:t>
      </w:r>
      <w:r w:rsidRPr="005A3257">
        <w:rPr>
          <w:rFonts w:ascii="Arial" w:hAnsi="Arial" w:cs="Arial"/>
          <w:sz w:val="20"/>
          <w:szCs w:val="26"/>
        </w:rPr>
        <w:t>Confederation of International Contractors' Associations)</w:t>
      </w:r>
    </w:p>
    <w:p w:rsidR="00053A03" w:rsidRPr="005A3257" w:rsidRDefault="00053A03" w:rsidP="005A3257">
      <w:pPr>
        <w:pStyle w:val="Paragraphedeliste"/>
        <w:numPr>
          <w:ilvl w:val="0"/>
          <w:numId w:val="1"/>
        </w:numPr>
        <w:rPr>
          <w:rFonts w:ascii="Arial" w:hAnsi="Arial"/>
          <w:sz w:val="20"/>
          <w:lang w:val="en-GB"/>
        </w:rPr>
      </w:pPr>
      <w:r w:rsidRPr="005A3257">
        <w:rPr>
          <w:rFonts w:ascii="Arial" w:hAnsi="Arial"/>
          <w:sz w:val="20"/>
          <w:lang w:val="en-GB"/>
        </w:rPr>
        <w:t xml:space="preserve">Paul </w:t>
      </w:r>
      <w:proofErr w:type="spellStart"/>
      <w:r w:rsidRPr="005A3257">
        <w:rPr>
          <w:rFonts w:ascii="Arial" w:hAnsi="Arial"/>
          <w:sz w:val="20"/>
          <w:lang w:val="en-GB"/>
        </w:rPr>
        <w:t>Mudde</w:t>
      </w:r>
      <w:proofErr w:type="spellEnd"/>
      <w:r w:rsidR="005A3257" w:rsidRPr="005A3257">
        <w:rPr>
          <w:rFonts w:ascii="Arial" w:hAnsi="Arial"/>
          <w:sz w:val="20"/>
          <w:lang w:val="en-GB"/>
        </w:rPr>
        <w:t xml:space="preserve"> (</w:t>
      </w:r>
      <w:r w:rsidRPr="005A3257">
        <w:rPr>
          <w:rFonts w:ascii="Arial" w:hAnsi="Arial"/>
          <w:sz w:val="20"/>
          <w:lang w:val="en-GB"/>
        </w:rPr>
        <w:t>Sustainable Finance &amp; Insurance</w:t>
      </w:r>
      <w:r w:rsidR="005A3257" w:rsidRPr="005A3257">
        <w:rPr>
          <w:rFonts w:ascii="Arial" w:hAnsi="Arial"/>
          <w:sz w:val="20"/>
          <w:lang w:val="en-GB"/>
        </w:rPr>
        <w:t>)</w:t>
      </w:r>
    </w:p>
    <w:sectPr w:rsidR="00053A03" w:rsidRPr="005A3257" w:rsidSect="00C36B0B">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DD" w:rsidRDefault="00C775DD">
      <w:r>
        <w:separator/>
      </w:r>
    </w:p>
  </w:endnote>
  <w:endnote w:type="continuationSeparator" w:id="0">
    <w:p w:rsidR="00C775DD" w:rsidRDefault="00C7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9B" w:rsidRDefault="00CF21F3" w:rsidP="00D83142">
    <w:pPr>
      <w:pStyle w:val="Pieddepage"/>
      <w:framePr w:wrap="around" w:vAnchor="text" w:hAnchor="margin" w:xAlign="right" w:y="1"/>
      <w:rPr>
        <w:rStyle w:val="Numrodepage"/>
      </w:rPr>
    </w:pPr>
    <w:r>
      <w:rPr>
        <w:rStyle w:val="Numrodepage"/>
      </w:rPr>
      <w:fldChar w:fldCharType="begin"/>
    </w:r>
    <w:r w:rsidR="00E83D9B">
      <w:rPr>
        <w:rStyle w:val="Numrodepage"/>
      </w:rPr>
      <w:instrText xml:space="preserve">PAGE  </w:instrText>
    </w:r>
    <w:r>
      <w:rPr>
        <w:rStyle w:val="Numrodepage"/>
      </w:rPr>
      <w:fldChar w:fldCharType="end"/>
    </w:r>
  </w:p>
  <w:p w:rsidR="00E83D9B" w:rsidRDefault="00E83D9B" w:rsidP="00D8314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9B" w:rsidRDefault="00CF21F3" w:rsidP="00D83142">
    <w:pPr>
      <w:pStyle w:val="Pieddepage"/>
      <w:framePr w:wrap="around" w:vAnchor="text" w:hAnchor="margin" w:xAlign="right" w:y="1"/>
      <w:rPr>
        <w:rStyle w:val="Numrodepage"/>
      </w:rPr>
    </w:pPr>
    <w:r>
      <w:rPr>
        <w:rStyle w:val="Numrodepage"/>
      </w:rPr>
      <w:fldChar w:fldCharType="begin"/>
    </w:r>
    <w:r w:rsidR="00E83D9B">
      <w:rPr>
        <w:rStyle w:val="Numrodepage"/>
      </w:rPr>
      <w:instrText xml:space="preserve">PAGE  </w:instrText>
    </w:r>
    <w:r>
      <w:rPr>
        <w:rStyle w:val="Numrodepage"/>
      </w:rPr>
      <w:fldChar w:fldCharType="separate"/>
    </w:r>
    <w:r w:rsidR="0086358F">
      <w:rPr>
        <w:rStyle w:val="Numrodepage"/>
        <w:noProof/>
      </w:rPr>
      <w:t>1</w:t>
    </w:r>
    <w:r>
      <w:rPr>
        <w:rStyle w:val="Numrodepage"/>
      </w:rPr>
      <w:fldChar w:fldCharType="end"/>
    </w:r>
  </w:p>
  <w:p w:rsidR="00E83D9B" w:rsidRDefault="00E83D9B" w:rsidP="00D8314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DD" w:rsidRDefault="00C775DD">
      <w:r>
        <w:separator/>
      </w:r>
    </w:p>
  </w:footnote>
  <w:footnote w:type="continuationSeparator" w:id="0">
    <w:p w:rsidR="00C775DD" w:rsidRDefault="00C775DD">
      <w:r>
        <w:continuationSeparator/>
      </w:r>
    </w:p>
  </w:footnote>
  <w:footnote w:id="1">
    <w:p w:rsidR="00E83D9B" w:rsidRPr="00053A03" w:rsidRDefault="00E83D9B">
      <w:pPr>
        <w:pStyle w:val="Notedebasdepage"/>
        <w:rPr>
          <w:rFonts w:ascii="Arial" w:hAnsi="Arial"/>
          <w:sz w:val="18"/>
        </w:rPr>
      </w:pPr>
      <w:r w:rsidRPr="00053A03">
        <w:rPr>
          <w:rStyle w:val="Appelnotedebasdep"/>
          <w:rFonts w:ascii="Arial" w:hAnsi="Arial"/>
          <w:sz w:val="18"/>
        </w:rPr>
        <w:footnoteRef/>
      </w:r>
      <w:r w:rsidRPr="00053A03">
        <w:rPr>
          <w:rFonts w:ascii="Arial" w:hAnsi="Arial"/>
          <w:sz w:val="18"/>
        </w:rPr>
        <w:t xml:space="preserve"> There are multilateral and bilateral DFI’s the most </w:t>
      </w:r>
      <w:proofErr w:type="spellStart"/>
      <w:r w:rsidRPr="00053A03">
        <w:rPr>
          <w:rFonts w:ascii="Arial" w:hAnsi="Arial"/>
          <w:sz w:val="18"/>
        </w:rPr>
        <w:t>well known</w:t>
      </w:r>
      <w:proofErr w:type="spellEnd"/>
      <w:r w:rsidRPr="00053A03">
        <w:rPr>
          <w:rFonts w:ascii="Arial" w:hAnsi="Arial"/>
          <w:sz w:val="18"/>
        </w:rPr>
        <w:t xml:space="preserve"> multilateral DFI’s are IBRD/IDA, </w:t>
      </w:r>
      <w:r>
        <w:rPr>
          <w:rFonts w:ascii="Arial" w:hAnsi="Arial"/>
          <w:sz w:val="18"/>
        </w:rPr>
        <w:t xml:space="preserve">IFC MIGA, </w:t>
      </w:r>
      <w:r w:rsidRPr="00053A03">
        <w:rPr>
          <w:rFonts w:ascii="Arial" w:hAnsi="Arial"/>
          <w:sz w:val="18"/>
        </w:rPr>
        <w:t xml:space="preserve">ADB, </w:t>
      </w:r>
      <w:proofErr w:type="spellStart"/>
      <w:proofErr w:type="gramStart"/>
      <w:r w:rsidRPr="00053A03">
        <w:rPr>
          <w:rFonts w:ascii="Arial" w:hAnsi="Arial"/>
          <w:sz w:val="18"/>
        </w:rPr>
        <w:t>IaDB</w:t>
      </w:r>
      <w:proofErr w:type="spellEnd"/>
      <w:proofErr w:type="gramEnd"/>
      <w:r w:rsidRPr="00053A03">
        <w:rPr>
          <w:rFonts w:ascii="Arial" w:hAnsi="Arial"/>
          <w:sz w:val="18"/>
        </w:rPr>
        <w:t xml:space="preserve">, </w:t>
      </w:r>
      <w:proofErr w:type="spellStart"/>
      <w:r w:rsidRPr="00053A03">
        <w:rPr>
          <w:rFonts w:ascii="Arial" w:hAnsi="Arial"/>
          <w:sz w:val="18"/>
        </w:rPr>
        <w:t>AfDB</w:t>
      </w:r>
      <w:proofErr w:type="spellEnd"/>
      <w:r w:rsidRPr="00053A03">
        <w:rPr>
          <w:rFonts w:ascii="Arial" w:hAnsi="Arial"/>
          <w:sz w:val="18"/>
        </w:rPr>
        <w:t xml:space="preserve">, EBRD and EIB. Examples of bilateral DFIs are public sector development banks / agencies such as </w:t>
      </w:r>
      <w:proofErr w:type="spellStart"/>
      <w:r w:rsidRPr="00053A03">
        <w:rPr>
          <w:rFonts w:ascii="Arial" w:hAnsi="Arial"/>
          <w:sz w:val="18"/>
        </w:rPr>
        <w:t>KfW</w:t>
      </w:r>
      <w:proofErr w:type="spellEnd"/>
      <w:r w:rsidRPr="00053A03">
        <w:rPr>
          <w:rFonts w:ascii="Arial" w:hAnsi="Arial"/>
          <w:sz w:val="18"/>
        </w:rPr>
        <w:t xml:space="preserve"> (Ge</w:t>
      </w:r>
      <w:r>
        <w:rPr>
          <w:rFonts w:ascii="Arial" w:hAnsi="Arial"/>
          <w:sz w:val="18"/>
        </w:rPr>
        <w:t xml:space="preserve">rmany) and </w:t>
      </w:r>
      <w:proofErr w:type="spellStart"/>
      <w:r>
        <w:rPr>
          <w:rFonts w:ascii="Arial" w:hAnsi="Arial"/>
          <w:sz w:val="18"/>
        </w:rPr>
        <w:t>AfD</w:t>
      </w:r>
      <w:proofErr w:type="spellEnd"/>
      <w:r>
        <w:rPr>
          <w:rFonts w:ascii="Arial" w:hAnsi="Arial"/>
          <w:sz w:val="18"/>
        </w:rPr>
        <w:t xml:space="preserve"> (France) and </w:t>
      </w:r>
      <w:r w:rsidRPr="00053A03">
        <w:rPr>
          <w:rFonts w:ascii="Arial" w:hAnsi="Arial"/>
          <w:sz w:val="18"/>
        </w:rPr>
        <w:t xml:space="preserve">private sector development banks such as DEG (Germany), </w:t>
      </w:r>
      <w:proofErr w:type="spellStart"/>
      <w:r w:rsidRPr="00053A03">
        <w:rPr>
          <w:rFonts w:ascii="Arial" w:hAnsi="Arial"/>
          <w:sz w:val="18"/>
        </w:rPr>
        <w:t>Proparco</w:t>
      </w:r>
      <w:proofErr w:type="spellEnd"/>
      <w:r w:rsidRPr="00053A03">
        <w:rPr>
          <w:rFonts w:ascii="Arial" w:hAnsi="Arial"/>
          <w:sz w:val="18"/>
        </w:rPr>
        <w:t xml:space="preserve"> (France) and FMO (the Netherlands). </w:t>
      </w:r>
    </w:p>
  </w:footnote>
  <w:footnote w:id="2">
    <w:p w:rsidR="00E83D9B" w:rsidRPr="00846CEC" w:rsidRDefault="00E83D9B" w:rsidP="00E83D9B">
      <w:pPr>
        <w:pStyle w:val="Notedebasdepage"/>
        <w:rPr>
          <w:rFonts w:ascii="Arial" w:hAnsi="Arial"/>
          <w:sz w:val="18"/>
        </w:rPr>
      </w:pPr>
      <w:r>
        <w:rPr>
          <w:rStyle w:val="Appelnotedebasdep"/>
        </w:rPr>
        <w:footnoteRef/>
      </w:r>
      <w:r>
        <w:t xml:space="preserve"> </w:t>
      </w:r>
      <w:r w:rsidRPr="00846CEC">
        <w:rPr>
          <w:rFonts w:ascii="Arial" w:hAnsi="Arial"/>
          <w:sz w:val="18"/>
        </w:rPr>
        <w:t>This include</w:t>
      </w:r>
      <w:r>
        <w:rPr>
          <w:rFonts w:ascii="Arial" w:hAnsi="Arial"/>
          <w:sz w:val="18"/>
        </w:rPr>
        <w:t>s</w:t>
      </w:r>
      <w:r w:rsidRPr="00846CEC">
        <w:rPr>
          <w:rFonts w:ascii="Arial" w:hAnsi="Arial"/>
          <w:sz w:val="18"/>
        </w:rPr>
        <w:t xml:space="preserve"> private capital and capital from public non-developmen</w:t>
      </w:r>
      <w:r>
        <w:rPr>
          <w:rFonts w:ascii="Arial" w:hAnsi="Arial"/>
          <w:sz w:val="18"/>
        </w:rPr>
        <w:t>tal sources such as</w:t>
      </w:r>
      <w:r w:rsidRPr="00846CEC">
        <w:rPr>
          <w:rFonts w:ascii="Arial" w:hAnsi="Arial"/>
          <w:sz w:val="18"/>
        </w:rPr>
        <w:t xml:space="preserve"> official ECAs</w:t>
      </w:r>
      <w:r>
        <w:rPr>
          <w:rFonts w:ascii="Arial" w:hAnsi="Arial"/>
          <w:sz w:val="18"/>
        </w:rPr>
        <w:t>.</w:t>
      </w:r>
    </w:p>
  </w:footnote>
  <w:footnote w:id="3">
    <w:p w:rsidR="00E83D9B" w:rsidRPr="00053A03" w:rsidRDefault="00E83D9B">
      <w:pPr>
        <w:pStyle w:val="Notedebasdepage"/>
        <w:rPr>
          <w:rFonts w:ascii="Arial" w:hAnsi="Arial"/>
          <w:sz w:val="18"/>
        </w:rPr>
      </w:pPr>
      <w:r w:rsidRPr="00053A03">
        <w:rPr>
          <w:rStyle w:val="Appelnotedebasdep"/>
          <w:rFonts w:ascii="Arial" w:hAnsi="Arial"/>
          <w:sz w:val="18"/>
        </w:rPr>
        <w:footnoteRef/>
      </w:r>
      <w:r w:rsidRPr="00053A03">
        <w:rPr>
          <w:rFonts w:ascii="Arial" w:hAnsi="Arial"/>
          <w:sz w:val="18"/>
        </w:rPr>
        <w:t xml:space="preserve"> </w:t>
      </w:r>
      <w:r>
        <w:rPr>
          <w:rFonts w:ascii="Arial" w:hAnsi="Arial"/>
          <w:sz w:val="18"/>
        </w:rPr>
        <w:t xml:space="preserve">Many governments in the world have set up an official ECA with the objective to </w:t>
      </w:r>
      <w:r w:rsidRPr="00053A03">
        <w:rPr>
          <w:rFonts w:ascii="Arial" w:hAnsi="Arial"/>
          <w:sz w:val="18"/>
        </w:rPr>
        <w:t>support exports and foreign investments of their</w:t>
      </w:r>
      <w:r>
        <w:rPr>
          <w:rFonts w:ascii="Arial" w:hAnsi="Arial"/>
          <w:sz w:val="18"/>
        </w:rPr>
        <w:t xml:space="preserve"> </w:t>
      </w:r>
      <w:r w:rsidRPr="00053A03">
        <w:rPr>
          <w:rFonts w:ascii="Arial" w:hAnsi="Arial"/>
          <w:sz w:val="18"/>
        </w:rPr>
        <w:t xml:space="preserve">national business community. </w:t>
      </w:r>
    </w:p>
  </w:footnote>
  <w:footnote w:id="4">
    <w:p w:rsidR="00E83D9B" w:rsidRPr="00053A03" w:rsidRDefault="00E83D9B">
      <w:pPr>
        <w:pStyle w:val="Notedebasdepage"/>
        <w:rPr>
          <w:rFonts w:ascii="Arial" w:hAnsi="Arial"/>
          <w:sz w:val="18"/>
        </w:rPr>
      </w:pPr>
      <w:r w:rsidRPr="00053A03">
        <w:rPr>
          <w:rStyle w:val="Appelnotedebasdep"/>
          <w:rFonts w:ascii="Arial" w:hAnsi="Arial"/>
          <w:sz w:val="18"/>
        </w:rPr>
        <w:footnoteRef/>
      </w:r>
      <w:r w:rsidRPr="00053A03">
        <w:rPr>
          <w:rFonts w:ascii="Arial" w:hAnsi="Arial"/>
          <w:sz w:val="18"/>
        </w:rPr>
        <w:t xml:space="preserve"> Sovereign projects are projects in which the central government acts as borrower or guarantor. </w:t>
      </w:r>
    </w:p>
  </w:footnote>
  <w:footnote w:id="5">
    <w:p w:rsidR="00E83D9B" w:rsidRPr="00FF6CD9" w:rsidRDefault="00E83D9B">
      <w:pPr>
        <w:pStyle w:val="Notedebasdepage"/>
        <w:rPr>
          <w:rFonts w:ascii="Arial" w:hAnsi="Arial"/>
          <w:sz w:val="18"/>
        </w:rPr>
      </w:pPr>
      <w:r w:rsidRPr="00FF6CD9">
        <w:rPr>
          <w:rStyle w:val="Appelnotedebasdep"/>
          <w:rFonts w:ascii="Arial" w:hAnsi="Arial"/>
          <w:sz w:val="18"/>
        </w:rPr>
        <w:footnoteRef/>
      </w:r>
      <w:r w:rsidRPr="00FF6CD9">
        <w:rPr>
          <w:rFonts w:ascii="Arial" w:hAnsi="Arial"/>
          <w:sz w:val="18"/>
        </w:rPr>
        <w:t xml:space="preserve"> Official Development Assistance</w:t>
      </w:r>
      <w:r>
        <w:rPr>
          <w:rFonts w:ascii="Arial" w:hAnsi="Arial"/>
          <w:sz w:val="18"/>
        </w:rPr>
        <w:t xml:space="preserve"> (</w:t>
      </w:r>
      <w:r w:rsidRPr="00FF6CD9">
        <w:rPr>
          <w:rFonts w:ascii="Arial" w:hAnsi="Arial"/>
          <w:sz w:val="18"/>
        </w:rPr>
        <w:t>ODA</w:t>
      </w:r>
      <w:r>
        <w:rPr>
          <w:rFonts w:ascii="Arial" w:hAnsi="Arial"/>
          <w:sz w:val="18"/>
        </w:rPr>
        <w:t>)</w:t>
      </w:r>
      <w:r w:rsidRPr="00FF6CD9">
        <w:rPr>
          <w:rFonts w:ascii="Arial" w:hAnsi="Arial"/>
          <w:sz w:val="18"/>
        </w:rPr>
        <w:t xml:space="preserve"> </w:t>
      </w:r>
      <w:r>
        <w:rPr>
          <w:rFonts w:ascii="Arial" w:hAnsi="Arial"/>
          <w:sz w:val="18"/>
        </w:rPr>
        <w:t xml:space="preserve">is the most important form of development aid provided by the international donor community. </w:t>
      </w:r>
      <w:r w:rsidRPr="00FF6CD9">
        <w:rPr>
          <w:rFonts w:ascii="Arial" w:hAnsi="Arial"/>
          <w:sz w:val="18"/>
        </w:rPr>
        <w:t>The current definition recogni</w:t>
      </w:r>
      <w:r>
        <w:rPr>
          <w:rFonts w:ascii="Arial" w:hAnsi="Arial"/>
          <w:sz w:val="18"/>
        </w:rPr>
        <w:t>z</w:t>
      </w:r>
      <w:r w:rsidRPr="00FF6CD9">
        <w:rPr>
          <w:rFonts w:ascii="Arial" w:hAnsi="Arial"/>
          <w:sz w:val="18"/>
        </w:rPr>
        <w:t xml:space="preserve">es grants, concessional loans and financial contributions to MDBs as ODA. </w:t>
      </w:r>
      <w:r>
        <w:rPr>
          <w:rFonts w:ascii="Arial" w:hAnsi="Arial"/>
          <w:sz w:val="18"/>
        </w:rPr>
        <w:t>Guarantees are only recognized in case of a claims payment.</w:t>
      </w:r>
    </w:p>
  </w:footnote>
  <w:footnote w:id="6">
    <w:p w:rsidR="00E83D9B" w:rsidRPr="000A3686" w:rsidRDefault="00E83D9B">
      <w:pPr>
        <w:pStyle w:val="Notedebasdepage"/>
        <w:rPr>
          <w:rFonts w:ascii="Arial" w:hAnsi="Arial"/>
          <w:sz w:val="18"/>
        </w:rPr>
      </w:pPr>
      <w:r w:rsidRPr="000A3686">
        <w:rPr>
          <w:rStyle w:val="Appelnotedebasdep"/>
          <w:rFonts w:ascii="Arial" w:hAnsi="Arial"/>
          <w:sz w:val="18"/>
        </w:rPr>
        <w:footnoteRef/>
      </w:r>
      <w:r>
        <w:rPr>
          <w:rFonts w:ascii="Arial" w:hAnsi="Arial"/>
          <w:sz w:val="18"/>
        </w:rPr>
        <w:t xml:space="preserve"> See the OECD A</w:t>
      </w:r>
      <w:r w:rsidRPr="000A3686">
        <w:rPr>
          <w:rFonts w:ascii="Arial" w:hAnsi="Arial"/>
          <w:sz w:val="18"/>
        </w:rPr>
        <w:t xml:space="preserve">rrangement on officially supported export credits. </w:t>
      </w:r>
    </w:p>
  </w:footnote>
  <w:footnote w:id="7">
    <w:p w:rsidR="00E83D9B" w:rsidRPr="008070E1" w:rsidRDefault="00E83D9B">
      <w:pPr>
        <w:pStyle w:val="Notedebasdepage"/>
        <w:rPr>
          <w:rFonts w:ascii="Arial" w:hAnsi="Arial"/>
          <w:sz w:val="18"/>
        </w:rPr>
      </w:pPr>
      <w:r>
        <w:rPr>
          <w:rStyle w:val="Appelnotedebasdep"/>
        </w:rPr>
        <w:footnoteRef/>
      </w:r>
      <w:r>
        <w:t xml:space="preserve"> </w:t>
      </w:r>
      <w:r w:rsidRPr="008070E1">
        <w:rPr>
          <w:rFonts w:ascii="Arial" w:hAnsi="Arial"/>
          <w:sz w:val="18"/>
        </w:rPr>
        <w:t>This figure concerns the MLT exposure of all members of the so-called Berne Union, which is the leading global association of credit and political risk insurers.</w:t>
      </w:r>
      <w:r>
        <w:rPr>
          <w:rFonts w:ascii="Arial" w:hAnsi="Arial"/>
          <w:sz w:val="18"/>
        </w:rPr>
        <w:t xml:space="preserve"> The figure covers both MLT officially supported export credits and MLT investment insurance. </w:t>
      </w:r>
    </w:p>
  </w:footnote>
  <w:footnote w:id="8">
    <w:p w:rsidR="00E83D9B" w:rsidRPr="000A3686" w:rsidRDefault="00E83D9B">
      <w:pPr>
        <w:pStyle w:val="Notedebasdepage"/>
        <w:rPr>
          <w:rFonts w:ascii="Arial" w:hAnsi="Arial"/>
          <w:sz w:val="18"/>
        </w:rPr>
      </w:pPr>
      <w:r w:rsidRPr="008070E1">
        <w:rPr>
          <w:rStyle w:val="Appelnotedebasdep"/>
          <w:rFonts w:ascii="Arial" w:hAnsi="Arial"/>
          <w:sz w:val="18"/>
        </w:rPr>
        <w:footnoteRef/>
      </w:r>
      <w:r w:rsidRPr="008070E1">
        <w:rPr>
          <w:rFonts w:ascii="Arial" w:hAnsi="Arial"/>
          <w:sz w:val="18"/>
        </w:rPr>
        <w:t xml:space="preserve"> The total exposure of I</w:t>
      </w:r>
      <w:r>
        <w:rPr>
          <w:rFonts w:ascii="Arial" w:hAnsi="Arial"/>
          <w:sz w:val="18"/>
        </w:rPr>
        <w:t xml:space="preserve">BRD/IDA, IFC, ADB, </w:t>
      </w:r>
      <w:proofErr w:type="spellStart"/>
      <w:r>
        <w:rPr>
          <w:rFonts w:ascii="Arial" w:hAnsi="Arial"/>
          <w:sz w:val="18"/>
        </w:rPr>
        <w:t>AfDB</w:t>
      </w:r>
      <w:proofErr w:type="spellEnd"/>
      <w:r>
        <w:rPr>
          <w:rFonts w:ascii="Arial" w:hAnsi="Arial"/>
          <w:sz w:val="18"/>
        </w:rPr>
        <w:t xml:space="preserve">, </w:t>
      </w:r>
      <w:proofErr w:type="spellStart"/>
      <w:proofErr w:type="gramStart"/>
      <w:r>
        <w:rPr>
          <w:rFonts w:ascii="Arial" w:hAnsi="Arial"/>
          <w:sz w:val="18"/>
        </w:rPr>
        <w:t>IaDB</w:t>
      </w:r>
      <w:proofErr w:type="spellEnd"/>
      <w:r>
        <w:rPr>
          <w:rFonts w:ascii="Arial" w:hAnsi="Arial"/>
          <w:sz w:val="18"/>
        </w:rPr>
        <w:t xml:space="preserve"> ,</w:t>
      </w:r>
      <w:r w:rsidRPr="008070E1">
        <w:rPr>
          <w:rFonts w:ascii="Arial" w:hAnsi="Arial"/>
          <w:sz w:val="18"/>
        </w:rPr>
        <w:t>EBRD</w:t>
      </w:r>
      <w:proofErr w:type="gramEnd"/>
      <w:r w:rsidRPr="008070E1">
        <w:rPr>
          <w:rFonts w:ascii="Arial" w:hAnsi="Arial"/>
          <w:sz w:val="18"/>
        </w:rPr>
        <w:t xml:space="preserve"> and EIB (only outside EU) was in 2014 approximately U$ 422 billion.</w:t>
      </w:r>
    </w:p>
  </w:footnote>
  <w:footnote w:id="9">
    <w:p w:rsidR="00E83D9B" w:rsidRPr="000A3686" w:rsidRDefault="00E83D9B">
      <w:pPr>
        <w:pStyle w:val="Notedebasdepage"/>
        <w:rPr>
          <w:rFonts w:ascii="Arial" w:hAnsi="Arial"/>
          <w:sz w:val="18"/>
        </w:rPr>
      </w:pPr>
      <w:r w:rsidRPr="000A3686">
        <w:rPr>
          <w:rStyle w:val="Appelnotedebasdep"/>
          <w:rFonts w:ascii="Arial" w:hAnsi="Arial"/>
          <w:sz w:val="18"/>
        </w:rPr>
        <w:footnoteRef/>
      </w:r>
      <w:r w:rsidRPr="000A3686">
        <w:rPr>
          <w:rFonts w:ascii="Arial" w:hAnsi="Arial"/>
          <w:sz w:val="18"/>
        </w:rPr>
        <w:t xml:space="preserve"> </w:t>
      </w:r>
      <w:r>
        <w:rPr>
          <w:rFonts w:ascii="Arial" w:hAnsi="Arial"/>
          <w:sz w:val="18"/>
        </w:rPr>
        <w:t>For example in t</w:t>
      </w:r>
      <w:r w:rsidRPr="000A3686">
        <w:rPr>
          <w:rFonts w:ascii="Arial" w:hAnsi="Arial"/>
          <w:sz w:val="18"/>
        </w:rPr>
        <w:t xml:space="preserve">he OECD DAC </w:t>
      </w:r>
      <w:r>
        <w:rPr>
          <w:rFonts w:ascii="Arial" w:hAnsi="Arial"/>
          <w:sz w:val="18"/>
        </w:rPr>
        <w:t>donor countries discuss</w:t>
      </w:r>
      <w:r w:rsidRPr="000A3686">
        <w:rPr>
          <w:rFonts w:ascii="Arial" w:hAnsi="Arial"/>
          <w:sz w:val="18"/>
        </w:rPr>
        <w:t xml:space="preserve"> the developmental impact of the</w:t>
      </w:r>
      <w:r>
        <w:rPr>
          <w:rFonts w:ascii="Arial" w:hAnsi="Arial"/>
          <w:sz w:val="18"/>
        </w:rPr>
        <w:t xml:space="preserve">ir activities. </w:t>
      </w:r>
      <w:r w:rsidRPr="000A3686">
        <w:rPr>
          <w:rFonts w:ascii="Arial" w:hAnsi="Arial"/>
          <w:sz w:val="18"/>
        </w:rPr>
        <w:t xml:space="preserve"> </w:t>
      </w:r>
      <w:r>
        <w:rPr>
          <w:rFonts w:ascii="Arial" w:hAnsi="Arial"/>
          <w:sz w:val="18"/>
        </w:rPr>
        <w:t>In those discussions only the business of</w:t>
      </w:r>
      <w:r w:rsidRPr="000A3686">
        <w:rPr>
          <w:rFonts w:ascii="Arial" w:hAnsi="Arial"/>
          <w:sz w:val="18"/>
        </w:rPr>
        <w:t xml:space="preserve"> </w:t>
      </w:r>
      <w:r>
        <w:rPr>
          <w:rFonts w:ascii="Arial" w:hAnsi="Arial"/>
          <w:sz w:val="18"/>
        </w:rPr>
        <w:t xml:space="preserve">government </w:t>
      </w:r>
      <w:r w:rsidRPr="000A3686">
        <w:rPr>
          <w:rFonts w:ascii="Arial" w:hAnsi="Arial"/>
          <w:sz w:val="18"/>
        </w:rPr>
        <w:t>organizations that have a formal developmental mandate</w:t>
      </w:r>
      <w:r>
        <w:rPr>
          <w:rFonts w:ascii="Arial" w:hAnsi="Arial"/>
          <w:sz w:val="18"/>
        </w:rPr>
        <w:t xml:space="preserve"> are taken into account. As a consequence official </w:t>
      </w:r>
      <w:r w:rsidRPr="000A3686">
        <w:rPr>
          <w:rFonts w:ascii="Arial" w:hAnsi="Arial"/>
          <w:sz w:val="18"/>
        </w:rPr>
        <w:t>organizations that</w:t>
      </w:r>
      <w:r>
        <w:rPr>
          <w:rFonts w:ascii="Arial" w:hAnsi="Arial"/>
          <w:sz w:val="18"/>
        </w:rPr>
        <w:t xml:space="preserve"> </w:t>
      </w:r>
      <w:r w:rsidRPr="000A3686">
        <w:rPr>
          <w:rFonts w:ascii="Arial" w:hAnsi="Arial"/>
          <w:sz w:val="18"/>
        </w:rPr>
        <w:t xml:space="preserve">do not have a developmental mandate but have </w:t>
      </w:r>
      <w:proofErr w:type="spellStart"/>
      <w:proofErr w:type="gramStart"/>
      <w:r w:rsidRPr="000A3686">
        <w:rPr>
          <w:rFonts w:ascii="Arial" w:hAnsi="Arial"/>
          <w:sz w:val="18"/>
        </w:rPr>
        <w:t>a</w:t>
      </w:r>
      <w:proofErr w:type="spellEnd"/>
      <w:proofErr w:type="gramEnd"/>
      <w:r w:rsidRPr="000A3686">
        <w:rPr>
          <w:rFonts w:ascii="Arial" w:hAnsi="Arial"/>
          <w:sz w:val="18"/>
        </w:rPr>
        <w:t xml:space="preserve"> important</w:t>
      </w:r>
      <w:r>
        <w:rPr>
          <w:rFonts w:ascii="Arial" w:hAnsi="Arial"/>
          <w:sz w:val="18"/>
        </w:rPr>
        <w:t xml:space="preserve"> </w:t>
      </w:r>
      <w:r w:rsidRPr="000A3686">
        <w:rPr>
          <w:rFonts w:ascii="Arial" w:hAnsi="Arial"/>
          <w:sz w:val="18"/>
        </w:rPr>
        <w:t>dev</w:t>
      </w:r>
      <w:r>
        <w:rPr>
          <w:rFonts w:ascii="Arial" w:hAnsi="Arial"/>
          <w:sz w:val="18"/>
        </w:rPr>
        <w:t>e</w:t>
      </w:r>
      <w:r w:rsidRPr="000A3686">
        <w:rPr>
          <w:rFonts w:ascii="Arial" w:hAnsi="Arial"/>
          <w:sz w:val="18"/>
        </w:rPr>
        <w:t>lopmental impact,</w:t>
      </w:r>
      <w:r>
        <w:rPr>
          <w:rFonts w:ascii="Arial" w:hAnsi="Arial"/>
          <w:sz w:val="18"/>
        </w:rPr>
        <w:t xml:space="preserve"> such ECAs are not part of the O</w:t>
      </w:r>
      <w:r w:rsidRPr="000A3686">
        <w:rPr>
          <w:rFonts w:ascii="Arial" w:hAnsi="Arial"/>
          <w:sz w:val="18"/>
        </w:rPr>
        <w:t>ECD DAC discussions.</w:t>
      </w:r>
    </w:p>
    <w:p w:rsidR="00E83D9B" w:rsidRPr="000A3686" w:rsidRDefault="00E83D9B">
      <w:pPr>
        <w:pStyle w:val="Notedebasdepage"/>
        <w:rPr>
          <w:rFonts w:ascii="Arial" w:hAnsi="Arial"/>
          <w:sz w:val="18"/>
        </w:rPr>
      </w:pPr>
      <w:r w:rsidRPr="000A3686">
        <w:rPr>
          <w:rFonts w:ascii="Arial" w:hAnsi="Arial"/>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17378"/>
    <w:multiLevelType w:val="hybridMultilevel"/>
    <w:tmpl w:val="09A6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0B"/>
    <w:rsid w:val="00053A03"/>
    <w:rsid w:val="000A3686"/>
    <w:rsid w:val="000B30DC"/>
    <w:rsid w:val="000E5EE0"/>
    <w:rsid w:val="000F3CBA"/>
    <w:rsid w:val="001134C7"/>
    <w:rsid w:val="001528E4"/>
    <w:rsid w:val="00166AAA"/>
    <w:rsid w:val="001726EE"/>
    <w:rsid w:val="00195CC7"/>
    <w:rsid w:val="00271E3F"/>
    <w:rsid w:val="0028795C"/>
    <w:rsid w:val="002D1CE5"/>
    <w:rsid w:val="002F72E7"/>
    <w:rsid w:val="0036709B"/>
    <w:rsid w:val="00386A5A"/>
    <w:rsid w:val="003C2482"/>
    <w:rsid w:val="003D2175"/>
    <w:rsid w:val="004541A4"/>
    <w:rsid w:val="00472853"/>
    <w:rsid w:val="004E5E94"/>
    <w:rsid w:val="00513F63"/>
    <w:rsid w:val="005408AA"/>
    <w:rsid w:val="005A3257"/>
    <w:rsid w:val="005D6A2B"/>
    <w:rsid w:val="005E60E9"/>
    <w:rsid w:val="006F3E38"/>
    <w:rsid w:val="00754907"/>
    <w:rsid w:val="007E750B"/>
    <w:rsid w:val="008070E1"/>
    <w:rsid w:val="0084611B"/>
    <w:rsid w:val="00846CEC"/>
    <w:rsid w:val="0086358F"/>
    <w:rsid w:val="0087090A"/>
    <w:rsid w:val="0098625C"/>
    <w:rsid w:val="00A1510D"/>
    <w:rsid w:val="00A7621C"/>
    <w:rsid w:val="00AF629F"/>
    <w:rsid w:val="00B446B1"/>
    <w:rsid w:val="00BE1092"/>
    <w:rsid w:val="00C36B0B"/>
    <w:rsid w:val="00C37DDD"/>
    <w:rsid w:val="00C775DD"/>
    <w:rsid w:val="00C917F0"/>
    <w:rsid w:val="00CE1D87"/>
    <w:rsid w:val="00CF21F3"/>
    <w:rsid w:val="00D83142"/>
    <w:rsid w:val="00DB54C3"/>
    <w:rsid w:val="00E5375F"/>
    <w:rsid w:val="00E826A1"/>
    <w:rsid w:val="00E83D9B"/>
    <w:rsid w:val="00EE6978"/>
    <w:rsid w:val="00F66CAD"/>
    <w:rsid w:val="00F72BB8"/>
    <w:rsid w:val="00FF6C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E3"/>
  </w:style>
  <w:style w:type="paragraph" w:styleId="Titre2">
    <w:name w:val="heading 2"/>
    <w:basedOn w:val="Normal"/>
    <w:next w:val="Normal"/>
    <w:link w:val="Titre2Car"/>
    <w:uiPriority w:val="9"/>
    <w:unhideWhenUsed/>
    <w:qFormat/>
    <w:rsid w:val="006F3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66AAA"/>
  </w:style>
  <w:style w:type="character" w:customStyle="1" w:styleId="NotedebasdepageCar">
    <w:name w:val="Note de bas de page Car"/>
    <w:basedOn w:val="Policepardfaut"/>
    <w:link w:val="Notedebasdepage"/>
    <w:uiPriority w:val="99"/>
    <w:semiHidden/>
    <w:rsid w:val="00166AAA"/>
  </w:style>
  <w:style w:type="character" w:styleId="Appelnotedebasdep">
    <w:name w:val="footnote reference"/>
    <w:basedOn w:val="Policepardfaut"/>
    <w:uiPriority w:val="99"/>
    <w:semiHidden/>
    <w:unhideWhenUsed/>
    <w:rsid w:val="00166AAA"/>
    <w:rPr>
      <w:vertAlign w:val="superscript"/>
    </w:rPr>
  </w:style>
  <w:style w:type="paragraph" w:styleId="Pieddepage">
    <w:name w:val="footer"/>
    <w:basedOn w:val="Normal"/>
    <w:link w:val="PieddepageCar"/>
    <w:uiPriority w:val="99"/>
    <w:semiHidden/>
    <w:unhideWhenUsed/>
    <w:rsid w:val="00D83142"/>
    <w:pPr>
      <w:tabs>
        <w:tab w:val="center" w:pos="4320"/>
        <w:tab w:val="right" w:pos="8640"/>
      </w:tabs>
    </w:pPr>
  </w:style>
  <w:style w:type="character" w:customStyle="1" w:styleId="PieddepageCar">
    <w:name w:val="Pied de page Car"/>
    <w:basedOn w:val="Policepardfaut"/>
    <w:link w:val="Pieddepage"/>
    <w:uiPriority w:val="99"/>
    <w:semiHidden/>
    <w:rsid w:val="00D83142"/>
  </w:style>
  <w:style w:type="character" w:styleId="Numrodepage">
    <w:name w:val="page number"/>
    <w:basedOn w:val="Policepardfaut"/>
    <w:uiPriority w:val="99"/>
    <w:semiHidden/>
    <w:unhideWhenUsed/>
    <w:rsid w:val="00D83142"/>
  </w:style>
  <w:style w:type="paragraph" w:styleId="Paragraphedeliste">
    <w:name w:val="List Paragraph"/>
    <w:basedOn w:val="Normal"/>
    <w:uiPriority w:val="34"/>
    <w:qFormat/>
    <w:rsid w:val="005A3257"/>
    <w:pPr>
      <w:ind w:left="720"/>
      <w:contextualSpacing/>
    </w:pPr>
  </w:style>
  <w:style w:type="character" w:customStyle="1" w:styleId="Titre2Car">
    <w:name w:val="Titre 2 Car"/>
    <w:basedOn w:val="Policepardfaut"/>
    <w:link w:val="Titre2"/>
    <w:uiPriority w:val="9"/>
    <w:rsid w:val="006F3E3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BE3"/>
  </w:style>
  <w:style w:type="paragraph" w:styleId="Titre2">
    <w:name w:val="heading 2"/>
    <w:basedOn w:val="Normal"/>
    <w:next w:val="Normal"/>
    <w:link w:val="Titre2Car"/>
    <w:uiPriority w:val="9"/>
    <w:unhideWhenUsed/>
    <w:qFormat/>
    <w:rsid w:val="006F3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66AAA"/>
  </w:style>
  <w:style w:type="character" w:customStyle="1" w:styleId="NotedebasdepageCar">
    <w:name w:val="Note de bas de page Car"/>
    <w:basedOn w:val="Policepardfaut"/>
    <w:link w:val="Notedebasdepage"/>
    <w:uiPriority w:val="99"/>
    <w:semiHidden/>
    <w:rsid w:val="00166AAA"/>
  </w:style>
  <w:style w:type="character" w:styleId="Appelnotedebasdep">
    <w:name w:val="footnote reference"/>
    <w:basedOn w:val="Policepardfaut"/>
    <w:uiPriority w:val="99"/>
    <w:semiHidden/>
    <w:unhideWhenUsed/>
    <w:rsid w:val="00166AAA"/>
    <w:rPr>
      <w:vertAlign w:val="superscript"/>
    </w:rPr>
  </w:style>
  <w:style w:type="paragraph" w:styleId="Pieddepage">
    <w:name w:val="footer"/>
    <w:basedOn w:val="Normal"/>
    <w:link w:val="PieddepageCar"/>
    <w:uiPriority w:val="99"/>
    <w:semiHidden/>
    <w:unhideWhenUsed/>
    <w:rsid w:val="00D83142"/>
    <w:pPr>
      <w:tabs>
        <w:tab w:val="center" w:pos="4320"/>
        <w:tab w:val="right" w:pos="8640"/>
      </w:tabs>
    </w:pPr>
  </w:style>
  <w:style w:type="character" w:customStyle="1" w:styleId="PieddepageCar">
    <w:name w:val="Pied de page Car"/>
    <w:basedOn w:val="Policepardfaut"/>
    <w:link w:val="Pieddepage"/>
    <w:uiPriority w:val="99"/>
    <w:semiHidden/>
    <w:rsid w:val="00D83142"/>
  </w:style>
  <w:style w:type="character" w:styleId="Numrodepage">
    <w:name w:val="page number"/>
    <w:basedOn w:val="Policepardfaut"/>
    <w:uiPriority w:val="99"/>
    <w:semiHidden/>
    <w:unhideWhenUsed/>
    <w:rsid w:val="00D83142"/>
  </w:style>
  <w:style w:type="paragraph" w:styleId="Paragraphedeliste">
    <w:name w:val="List Paragraph"/>
    <w:basedOn w:val="Normal"/>
    <w:uiPriority w:val="34"/>
    <w:qFormat/>
    <w:rsid w:val="005A3257"/>
    <w:pPr>
      <w:ind w:left="720"/>
      <w:contextualSpacing/>
    </w:pPr>
  </w:style>
  <w:style w:type="character" w:customStyle="1" w:styleId="Titre2Car">
    <w:name w:val="Titre 2 Car"/>
    <w:basedOn w:val="Policepardfaut"/>
    <w:link w:val="Titre2"/>
    <w:uiPriority w:val="9"/>
    <w:rsid w:val="006F3E3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2296</Words>
  <Characters>12631</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Sustainable Finance &amp; Insurance</Company>
  <LinksUpToDate>false</LinksUpToDate>
  <CharactersWithSpaces>14898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Mudde</dc:creator>
  <cp:lastModifiedBy>Victoria DIMOVA</cp:lastModifiedBy>
  <cp:revision>2</cp:revision>
  <cp:lastPrinted>2016-05-30T14:19:00Z</cp:lastPrinted>
  <dcterms:created xsi:type="dcterms:W3CDTF">2016-06-15T15:19:00Z</dcterms:created>
  <dcterms:modified xsi:type="dcterms:W3CDTF">2016-06-15T15:19:00Z</dcterms:modified>
</cp:coreProperties>
</file>